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6C" w:rsidRPr="00770128" w:rsidRDefault="001C696C" w:rsidP="00770128">
      <w:pPr>
        <w:jc w:val="center"/>
      </w:pPr>
      <w:r w:rsidRPr="00770128">
        <w:rPr>
          <w:lang w:val="en-US"/>
        </w:rPr>
        <w:t>C</w:t>
      </w:r>
      <w:r w:rsidRPr="00770128">
        <w:t>водный отчет</w:t>
      </w:r>
    </w:p>
    <w:p w:rsidR="00770128" w:rsidRPr="00770128" w:rsidRDefault="001C696C" w:rsidP="00770128">
      <w:pPr>
        <w:pStyle w:val="ConsPlusNormal0"/>
        <w:tabs>
          <w:tab w:val="left" w:pos="482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0128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proofErr w:type="gramStart"/>
      <w:r w:rsidRPr="00770128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проекта</w:t>
      </w:r>
      <w:r w:rsidR="00770128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</w:t>
      </w:r>
      <w:proofErr w:type="gramEnd"/>
      <w:r w:rsidR="00770128">
        <w:rPr>
          <w:rFonts w:ascii="Times New Roman" w:hAnsi="Times New Roman" w:cs="Times New Roman"/>
          <w:sz w:val="24"/>
          <w:szCs w:val="24"/>
        </w:rPr>
        <w:t xml:space="preserve"> Кондинского района </w:t>
      </w:r>
      <w:r w:rsidR="004F591E">
        <w:rPr>
          <w:rFonts w:ascii="Times New Roman" w:hAnsi="Times New Roman" w:cs="Times New Roman"/>
          <w:sz w:val="24"/>
          <w:szCs w:val="24"/>
        </w:rPr>
        <w:t xml:space="preserve"> </w:t>
      </w:r>
      <w:r w:rsidR="004F591E" w:rsidRPr="004F591E">
        <w:rPr>
          <w:rFonts w:ascii="Times New Roman" w:hAnsi="Times New Roman" w:cs="Times New Roman"/>
          <w:sz w:val="24"/>
          <w:szCs w:val="24"/>
        </w:rPr>
        <w:t xml:space="preserve">«О реализации мероприятий </w:t>
      </w:r>
      <w:r w:rsidR="00AF39A3">
        <w:rPr>
          <w:rFonts w:ascii="Times New Roman" w:hAnsi="Times New Roman" w:cs="Times New Roman"/>
          <w:sz w:val="24"/>
          <w:szCs w:val="24"/>
        </w:rPr>
        <w:t xml:space="preserve"> </w:t>
      </w:r>
      <w:r w:rsidR="004F591E" w:rsidRPr="004F591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A67570" w:rsidRPr="00A67570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в Кондинском районе на 2018-2022гг.»</w:t>
      </w:r>
    </w:p>
    <w:p w:rsidR="001C696C" w:rsidRPr="003A2E79" w:rsidRDefault="001C696C" w:rsidP="001C696C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1"/>
        <w:gridCol w:w="4290"/>
      </w:tblGrid>
      <w:tr w:rsidR="001C696C" w:rsidRPr="003A2E79" w:rsidTr="00770128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Сроки проведения публичного обсуждения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проекта муниципального нормативного правового акта:</w:t>
            </w:r>
          </w:p>
        </w:tc>
      </w:tr>
      <w:tr w:rsidR="001C696C" w:rsidRPr="003A2E79" w:rsidTr="00770128">
        <w:trPr>
          <w:trHeight w:val="158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jc w:val="both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начало</w:t>
            </w:r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1C696C" w:rsidRPr="00E8654F" w:rsidRDefault="001C696C" w:rsidP="001C696C">
            <w:pPr>
              <w:rPr>
                <w:sz w:val="18"/>
                <w:szCs w:val="18"/>
              </w:rPr>
            </w:pPr>
            <w:r w:rsidRPr="00E8654F">
              <w:rPr>
                <w:sz w:val="18"/>
                <w:szCs w:val="18"/>
              </w:rPr>
              <w:t>«</w:t>
            </w:r>
            <w:r w:rsidR="00E8654F" w:rsidRPr="00E8654F">
              <w:rPr>
                <w:sz w:val="18"/>
                <w:szCs w:val="18"/>
              </w:rPr>
              <w:t>21</w:t>
            </w:r>
            <w:r w:rsidRPr="00E8654F">
              <w:rPr>
                <w:sz w:val="18"/>
                <w:szCs w:val="18"/>
              </w:rPr>
              <w:t>»</w:t>
            </w:r>
            <w:r w:rsidR="007E0D2B" w:rsidRPr="00E8654F">
              <w:rPr>
                <w:sz w:val="18"/>
                <w:szCs w:val="18"/>
              </w:rPr>
              <w:t>марта</w:t>
            </w:r>
            <w:r w:rsidRPr="00E8654F">
              <w:rPr>
                <w:sz w:val="18"/>
                <w:szCs w:val="18"/>
              </w:rPr>
              <w:t xml:space="preserve"> 2018  года</w:t>
            </w:r>
          </w:p>
        </w:tc>
      </w:tr>
      <w:tr w:rsidR="001C696C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jc w:val="both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окончание</w:t>
            </w:r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1C696C" w:rsidRPr="00E8654F" w:rsidRDefault="001C696C" w:rsidP="001C696C">
            <w:pPr>
              <w:rPr>
                <w:sz w:val="18"/>
                <w:szCs w:val="18"/>
              </w:rPr>
            </w:pPr>
            <w:r w:rsidRPr="00E8654F">
              <w:rPr>
                <w:sz w:val="18"/>
                <w:szCs w:val="18"/>
              </w:rPr>
              <w:t>«</w:t>
            </w:r>
            <w:r w:rsidR="00E8654F" w:rsidRPr="00E8654F">
              <w:rPr>
                <w:sz w:val="18"/>
                <w:szCs w:val="18"/>
              </w:rPr>
              <w:t>17</w:t>
            </w:r>
            <w:r w:rsidRPr="00E8654F">
              <w:rPr>
                <w:sz w:val="18"/>
                <w:szCs w:val="18"/>
              </w:rPr>
              <w:t>»</w:t>
            </w:r>
            <w:r w:rsidR="00A67570" w:rsidRPr="00E8654F">
              <w:rPr>
                <w:sz w:val="18"/>
                <w:szCs w:val="18"/>
              </w:rPr>
              <w:t xml:space="preserve"> апреля</w:t>
            </w:r>
            <w:r w:rsidRPr="00E8654F">
              <w:rPr>
                <w:sz w:val="18"/>
                <w:szCs w:val="18"/>
              </w:rPr>
              <w:t xml:space="preserve">  2018  года</w:t>
            </w:r>
          </w:p>
        </w:tc>
      </w:tr>
      <w:tr w:rsidR="001C696C" w:rsidRPr="003A2E79" w:rsidTr="00770128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1C696C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1C696C" w:rsidRPr="003A2E79" w:rsidRDefault="00DA28B3" w:rsidP="00DA28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0</w:t>
            </w:r>
          </w:p>
        </w:tc>
      </w:tr>
      <w:tr w:rsidR="001C696C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1C696C" w:rsidRPr="003A2E79" w:rsidRDefault="001F2AA3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C696C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1C696C" w:rsidRPr="003A2E79" w:rsidRDefault="001F2AA3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C696C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1C696C" w:rsidRPr="003A2E79" w:rsidRDefault="001F2AA3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1. Общая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463"/>
        <w:gridCol w:w="5465"/>
      </w:tblGrid>
      <w:tr w:rsidR="001C696C" w:rsidRPr="003A2E79" w:rsidTr="00770128">
        <w:tc>
          <w:tcPr>
            <w:tcW w:w="336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1C696C" w:rsidRPr="001C696C" w:rsidRDefault="001C696C" w:rsidP="007E0D2B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Регулирующий орган (далее – разработчик): </w:t>
            </w:r>
            <w:r>
              <w:rPr>
                <w:sz w:val="18"/>
                <w:szCs w:val="18"/>
              </w:rPr>
              <w:t xml:space="preserve"> </w:t>
            </w:r>
            <w:r w:rsidR="007E0D2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7E0D2B" w:rsidRPr="007E0D2B">
              <w:rPr>
                <w:rFonts w:eastAsia="Calibri"/>
                <w:i/>
                <w:sz w:val="18"/>
                <w:szCs w:val="18"/>
                <w:lang w:eastAsia="en-US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1C696C" w:rsidRPr="003A2E79" w:rsidTr="00770128">
        <w:trPr>
          <w:trHeight w:val="902"/>
        </w:trPr>
        <w:tc>
          <w:tcPr>
            <w:tcW w:w="336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465BF6">
              <w:rPr>
                <w:sz w:val="18"/>
                <w:szCs w:val="18"/>
              </w:rPr>
              <w:t>Сведения об органах власти – соисполнителях:</w:t>
            </w:r>
            <w:r w:rsidRPr="003A2E79">
              <w:rPr>
                <w:sz w:val="18"/>
                <w:szCs w:val="18"/>
              </w:rPr>
              <w:t xml:space="preserve"> </w:t>
            </w:r>
            <w:r w:rsidR="00DA28B3">
              <w:rPr>
                <w:sz w:val="18"/>
                <w:szCs w:val="18"/>
              </w:rPr>
              <w:t xml:space="preserve">  </w:t>
            </w:r>
            <w:r w:rsidR="00465BF6" w:rsidRPr="00465BF6">
              <w:rPr>
                <w:sz w:val="18"/>
                <w:szCs w:val="18"/>
              </w:rPr>
              <w:t>отсутствуют.</w:t>
            </w:r>
          </w:p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(указываются полное и краткое наименования)</w:t>
            </w:r>
          </w:p>
        </w:tc>
      </w:tr>
      <w:tr w:rsidR="001C696C" w:rsidRPr="003A2E79" w:rsidTr="00770128">
        <w:trPr>
          <w:trHeight w:val="809"/>
        </w:trPr>
        <w:tc>
          <w:tcPr>
            <w:tcW w:w="336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1C696C" w:rsidRPr="003A2E79" w:rsidRDefault="001C696C" w:rsidP="00060A3D">
            <w:pPr>
              <w:pStyle w:val="ConsPlusNormal0"/>
              <w:tabs>
                <w:tab w:val="left" w:pos="4820"/>
              </w:tabs>
              <w:ind w:right="-1"/>
              <w:contextualSpacing/>
              <w:jc w:val="both"/>
              <w:outlineLvl w:val="0"/>
              <w:rPr>
                <w:rFonts w:eastAsia="Calibri"/>
                <w:sz w:val="18"/>
                <w:szCs w:val="18"/>
              </w:rPr>
            </w:pPr>
            <w:r w:rsidRPr="00770128">
              <w:rPr>
                <w:rFonts w:ascii="Times New Roman" w:hAnsi="Times New Roman" w:cs="Times New Roman"/>
                <w:sz w:val="18"/>
                <w:szCs w:val="18"/>
              </w:rPr>
              <w:t>Вид и наименование проекта муниципального нормативного правового акта:</w:t>
            </w:r>
            <w:r w:rsidR="00A67570">
              <w:t xml:space="preserve"> </w:t>
            </w:r>
            <w:r w:rsidR="00A67570" w:rsidRPr="00A67570">
              <w:rPr>
                <w:rFonts w:ascii="Times New Roman" w:hAnsi="Times New Roman" w:cs="Times New Roman"/>
                <w:sz w:val="18"/>
                <w:szCs w:val="18"/>
              </w:rPr>
              <w:t>проекта постановления администрации Кондинского района «</w:t>
            </w:r>
            <w:r w:rsidR="00060A3D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A67570" w:rsidRPr="00A67570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мероприятий  проекта муниципальной программы «Формирование комфортной городской среды в Кондинском районе на 2018-2022гг.»</w:t>
            </w:r>
            <w:r w:rsidRPr="007701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75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C696C" w:rsidRPr="003A2E79" w:rsidTr="00770128">
        <w:trPr>
          <w:trHeight w:val="820"/>
        </w:trPr>
        <w:tc>
          <w:tcPr>
            <w:tcW w:w="336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A28B3" w:rsidRPr="00DA28B3" w:rsidRDefault="001C696C" w:rsidP="00DA28B3">
            <w:pPr>
              <w:autoSpaceDE w:val="0"/>
              <w:autoSpaceDN w:val="0"/>
              <w:ind w:firstLine="708"/>
              <w:contextualSpacing/>
              <w:jc w:val="both"/>
              <w:rPr>
                <w:i/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  <w:r w:rsidR="00DA28B3">
              <w:rPr>
                <w:i/>
                <w:sz w:val="18"/>
                <w:szCs w:val="18"/>
              </w:rPr>
              <w:t xml:space="preserve"> </w:t>
            </w:r>
            <w:r w:rsidR="00DA28B3" w:rsidRPr="00DA28B3">
              <w:rPr>
                <w:i/>
                <w:sz w:val="18"/>
                <w:szCs w:val="18"/>
              </w:rPr>
              <w:t xml:space="preserve">Данный правовой акт разработан в целях реализации приоритетного проекта «Формирование комфортной городской среды» на территории Ханты-Мансийского автономного округа и  муниципального образования Кондинский район. </w:t>
            </w:r>
          </w:p>
          <w:p w:rsidR="003E1886" w:rsidRPr="003E1886" w:rsidRDefault="00DA28B3" w:rsidP="00DA28B3">
            <w:pPr>
              <w:autoSpaceDE w:val="0"/>
              <w:autoSpaceDN w:val="0"/>
              <w:ind w:firstLine="708"/>
              <w:contextualSpacing/>
              <w:jc w:val="both"/>
              <w:rPr>
                <w:i/>
                <w:sz w:val="18"/>
                <w:szCs w:val="18"/>
              </w:rPr>
            </w:pPr>
            <w:r w:rsidRPr="00DA28B3">
              <w:rPr>
                <w:i/>
                <w:sz w:val="18"/>
                <w:szCs w:val="18"/>
              </w:rPr>
              <w:t xml:space="preserve">Проект направлен на повышение уровня благоустройства </w:t>
            </w:r>
            <w:proofErr w:type="spellStart"/>
            <w:r w:rsidRPr="00DA28B3">
              <w:rPr>
                <w:i/>
                <w:sz w:val="18"/>
                <w:szCs w:val="18"/>
              </w:rPr>
              <w:t>внутридворовых</w:t>
            </w:r>
            <w:proofErr w:type="spellEnd"/>
            <w:r w:rsidRPr="00DA28B3">
              <w:rPr>
                <w:i/>
                <w:sz w:val="18"/>
                <w:szCs w:val="18"/>
              </w:rPr>
              <w:t xml:space="preserve"> территорий и территорий общего пользования. Основной целью проекта является создание условий для системного повышения качества и комфорта городской среды на всей территории Кондинского района.</w:t>
            </w:r>
          </w:p>
          <w:p w:rsidR="001C696C" w:rsidRPr="00770128" w:rsidRDefault="003E1886" w:rsidP="003E1886">
            <w:pPr>
              <w:autoSpaceDE w:val="0"/>
              <w:autoSpaceDN w:val="0"/>
              <w:ind w:firstLine="708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C696C" w:rsidRPr="003A2E79" w:rsidTr="00770128">
        <w:tc>
          <w:tcPr>
            <w:tcW w:w="336" w:type="pct"/>
            <w:vMerge w:val="restar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3A2E79">
              <w:rPr>
                <w:sz w:val="18"/>
                <w:szCs w:val="18"/>
                <w:lang w:val="en-US"/>
              </w:rPr>
              <w:t>Контактная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информация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исполнителя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разработчика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</w:tr>
      <w:tr w:rsidR="001C696C" w:rsidRPr="003A2E79" w:rsidTr="00770128">
        <w:tc>
          <w:tcPr>
            <w:tcW w:w="336" w:type="pct"/>
            <w:vMerge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6C" w:rsidRPr="00770128" w:rsidRDefault="00DF5D03" w:rsidP="00770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DF5D03">
              <w:rPr>
                <w:i/>
                <w:sz w:val="18"/>
                <w:szCs w:val="18"/>
              </w:rPr>
              <w:t>Верещагин Дмитрий Владимирович</w:t>
            </w:r>
          </w:p>
        </w:tc>
      </w:tr>
      <w:tr w:rsidR="001C696C" w:rsidRPr="003A2E79" w:rsidTr="00770128">
        <w:tc>
          <w:tcPr>
            <w:tcW w:w="336" w:type="pct"/>
            <w:vMerge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6C" w:rsidRPr="00770128" w:rsidRDefault="00DF5D03" w:rsidP="00770128">
            <w:pPr>
              <w:jc w:val="center"/>
              <w:rPr>
                <w:i/>
                <w:sz w:val="18"/>
                <w:szCs w:val="18"/>
              </w:rPr>
            </w:pPr>
            <w:r w:rsidRPr="00DF5D03">
              <w:rPr>
                <w:i/>
                <w:sz w:val="18"/>
                <w:szCs w:val="18"/>
              </w:rPr>
              <w:t>главный специалист ПТО УЖКХ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C696C" w:rsidRPr="003A2E79" w:rsidTr="00770128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6C" w:rsidRPr="00770128" w:rsidRDefault="00DF5D03" w:rsidP="00770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8-(34677)-34276</w:t>
            </w:r>
          </w:p>
        </w:tc>
      </w:tr>
      <w:tr w:rsidR="001C696C" w:rsidRPr="003A2E79" w:rsidTr="00770128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6C" w:rsidRPr="00E2029A" w:rsidRDefault="00E2029A" w:rsidP="00770128">
            <w:pPr>
              <w:jc w:val="center"/>
              <w:rPr>
                <w:i/>
                <w:sz w:val="18"/>
                <w:szCs w:val="18"/>
              </w:rPr>
            </w:pPr>
            <w:r w:rsidRPr="00E2029A">
              <w:rPr>
                <w:i/>
                <w:sz w:val="18"/>
                <w:szCs w:val="18"/>
              </w:rPr>
              <w:t>ptougkh@admkonda.ru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2. Степень регулирующего воздействия </w:t>
      </w: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проекта нормативного правового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4941"/>
        <w:gridCol w:w="3978"/>
      </w:tblGrid>
      <w:tr w:rsidR="001C696C" w:rsidRPr="003A2E79" w:rsidTr="00770128">
        <w:tc>
          <w:tcPr>
            <w:tcW w:w="341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1C696C" w:rsidRPr="00770128" w:rsidRDefault="003E1886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высокая</w:t>
            </w:r>
          </w:p>
        </w:tc>
      </w:tr>
      <w:tr w:rsidR="001C696C" w:rsidRPr="003A2E79" w:rsidTr="00D8236F">
        <w:trPr>
          <w:trHeight w:val="893"/>
        </w:trPr>
        <w:tc>
          <w:tcPr>
            <w:tcW w:w="341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1C696C" w:rsidRPr="003A2E79" w:rsidRDefault="001C696C" w:rsidP="00E44DC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30ACC">
              <w:rPr>
                <w:sz w:val="18"/>
                <w:szCs w:val="18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  <w:r w:rsidR="0094002F" w:rsidRPr="00A30ACC">
              <w:rPr>
                <w:sz w:val="18"/>
                <w:szCs w:val="18"/>
              </w:rPr>
              <w:t xml:space="preserve">проект муниципального нормативного </w:t>
            </w:r>
            <w:r w:rsidR="0011445F" w:rsidRPr="00A30ACC">
              <w:rPr>
                <w:sz w:val="18"/>
                <w:szCs w:val="18"/>
              </w:rPr>
              <w:t>правового акта отнесен к высокой</w:t>
            </w:r>
            <w:r w:rsidR="0094002F" w:rsidRPr="00A30ACC">
              <w:rPr>
                <w:sz w:val="18"/>
                <w:szCs w:val="18"/>
              </w:rPr>
              <w:t xml:space="preserve"> степени регулирующего воздействия</w:t>
            </w:r>
            <w:r w:rsidR="00E44DCB">
              <w:rPr>
                <w:sz w:val="18"/>
                <w:szCs w:val="18"/>
              </w:rPr>
              <w:t>, так как</w:t>
            </w:r>
            <w:r w:rsidR="0094002F" w:rsidRPr="00A30ACC">
              <w:rPr>
                <w:sz w:val="18"/>
                <w:szCs w:val="18"/>
              </w:rPr>
              <w:t xml:space="preserve"> </w:t>
            </w:r>
            <w:r w:rsidR="00465BF6" w:rsidRPr="00465BF6">
              <w:rPr>
                <w:sz w:val="18"/>
                <w:szCs w:val="18"/>
              </w:rPr>
              <w:t>проект акта содержит положения,</w:t>
            </w:r>
            <w:r w:rsidR="00E44DCB">
              <w:rPr>
                <w:sz w:val="18"/>
                <w:szCs w:val="18"/>
              </w:rPr>
              <w:t xml:space="preserve"> устанавливающие обязанности, запреты и ограничения для </w:t>
            </w:r>
            <w:r w:rsidR="00465BF6" w:rsidRPr="00465BF6">
              <w:rPr>
                <w:sz w:val="18"/>
                <w:szCs w:val="18"/>
              </w:rPr>
              <w:t>физических и юридических лиц</w:t>
            </w:r>
            <w:r w:rsidR="00E44DCB">
              <w:rPr>
                <w:sz w:val="18"/>
                <w:szCs w:val="18"/>
              </w:rPr>
              <w:t>.</w:t>
            </w:r>
            <w:r w:rsidR="00465BF6" w:rsidRPr="00465BF6">
              <w:rPr>
                <w:sz w:val="18"/>
                <w:szCs w:val="18"/>
              </w:rPr>
              <w:t xml:space="preserve"> </w:t>
            </w:r>
            <w:r w:rsidR="00E44DCB">
              <w:rPr>
                <w:sz w:val="18"/>
                <w:szCs w:val="18"/>
              </w:rPr>
              <w:t xml:space="preserve"> 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8916"/>
      </w:tblGrid>
      <w:tr w:rsidR="001C696C" w:rsidRPr="003A2E79" w:rsidTr="00770128"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4658" w:type="pct"/>
            <w:shd w:val="clear" w:color="auto" w:fill="auto"/>
          </w:tcPr>
          <w:p w:rsidR="001C696C" w:rsidRPr="00D8236F" w:rsidRDefault="001C696C" w:rsidP="00E44DCB">
            <w:pPr>
              <w:spacing w:after="200"/>
              <w:contextualSpacing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proofErr w:type="gramStart"/>
            <w:r w:rsidRPr="00D8236F">
              <w:rPr>
                <w:sz w:val="18"/>
                <w:szCs w:val="1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  <w:r w:rsidR="00D8236F" w:rsidRPr="00D8236F">
              <w:rPr>
                <w:sz w:val="18"/>
                <w:szCs w:val="18"/>
              </w:rPr>
              <w:t xml:space="preserve"> </w:t>
            </w:r>
            <w:r w:rsidR="00E44DCB">
              <w:rPr>
                <w:sz w:val="18"/>
                <w:szCs w:val="18"/>
              </w:rPr>
              <w:t>п</w:t>
            </w:r>
            <w:r w:rsidR="00E44DCB" w:rsidRPr="00E44DCB">
              <w:rPr>
                <w:sz w:val="18"/>
                <w:szCs w:val="18"/>
              </w:rPr>
              <w:t>роблема, на решение которой направлено п</w:t>
            </w:r>
            <w:r w:rsidR="00E44DCB">
              <w:rPr>
                <w:sz w:val="18"/>
                <w:szCs w:val="18"/>
              </w:rPr>
              <w:t>равовое регулирование,   связано</w:t>
            </w:r>
            <w:r w:rsidR="00E44DCB" w:rsidRPr="00E44DCB">
              <w:rPr>
                <w:sz w:val="18"/>
                <w:szCs w:val="18"/>
              </w:rPr>
              <w:t xml:space="preserve"> с отсутствием возможности участия заинтересованных лиц в благоустройстве дворовых территорий, в создании комфортных условий для проживания.   </w:t>
            </w:r>
            <w:proofErr w:type="gramEnd"/>
          </w:p>
        </w:tc>
      </w:tr>
      <w:tr w:rsidR="001C696C" w:rsidRPr="003A2E79" w:rsidTr="00770128"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658" w:type="pct"/>
            <w:shd w:val="clear" w:color="auto" w:fill="auto"/>
          </w:tcPr>
          <w:p w:rsidR="0029200A" w:rsidRDefault="001C696C" w:rsidP="0029200A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Негативные эффекты, возникающие в связи с наличием проблемы:</w:t>
            </w:r>
            <w:r w:rsidR="00472105">
              <w:t xml:space="preserve"> н</w:t>
            </w:r>
            <w:r w:rsidR="00472105" w:rsidRPr="00472105">
              <w:rPr>
                <w:sz w:val="18"/>
                <w:szCs w:val="18"/>
              </w:rPr>
              <w:t>евозможность участия субъектов правового регулирования в мероприятиях по благоустройству дворовых и общественных территорий</w:t>
            </w:r>
            <w:r w:rsidR="00472105">
              <w:rPr>
                <w:sz w:val="18"/>
                <w:szCs w:val="18"/>
              </w:rPr>
              <w:t>.</w:t>
            </w:r>
          </w:p>
          <w:p w:rsidR="001F28A1" w:rsidRPr="001F28A1" w:rsidRDefault="00472105" w:rsidP="0029200A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C696C" w:rsidRPr="003A2E79" w:rsidTr="00770128">
        <w:trPr>
          <w:trHeight w:val="1268"/>
        </w:trPr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lastRenderedPageBreak/>
              <w:t>3.3.</w:t>
            </w:r>
          </w:p>
        </w:tc>
        <w:tc>
          <w:tcPr>
            <w:tcW w:w="4658" w:type="pct"/>
            <w:shd w:val="clear" w:color="auto" w:fill="auto"/>
          </w:tcPr>
          <w:p w:rsidR="001C696C" w:rsidRPr="000E3E7F" w:rsidRDefault="001C696C" w:rsidP="000E3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E3E7F">
              <w:rPr>
                <w:sz w:val="18"/>
                <w:szCs w:val="1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</w:t>
            </w:r>
            <w:r w:rsidR="0029200A" w:rsidRPr="000E3E7F">
              <w:rPr>
                <w:sz w:val="18"/>
                <w:szCs w:val="18"/>
              </w:rPr>
              <w:t>:</w:t>
            </w:r>
            <w:r w:rsidR="005F425D" w:rsidRPr="000E3E7F">
              <w:rPr>
                <w:sz w:val="18"/>
                <w:szCs w:val="18"/>
              </w:rPr>
              <w:t xml:space="preserve"> </w:t>
            </w:r>
            <w:r w:rsidR="000E3E7F">
              <w:rPr>
                <w:sz w:val="18"/>
                <w:szCs w:val="18"/>
              </w:rPr>
              <w:t>о</w:t>
            </w:r>
            <w:r w:rsidR="000E3E7F" w:rsidRPr="000E3E7F">
              <w:rPr>
                <w:sz w:val="18"/>
                <w:szCs w:val="18"/>
              </w:rPr>
              <w:t>тсутствие нормативных правовых актов  устанавливающих возможность участия граждан в мероприятиях по благоустройству дворовых территорий  и территорий общего пользования на территории Кондинского района.</w:t>
            </w:r>
          </w:p>
        </w:tc>
      </w:tr>
      <w:tr w:rsidR="001C696C" w:rsidRPr="003A2E79" w:rsidTr="00770128"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4658" w:type="pct"/>
            <w:shd w:val="clear" w:color="auto" w:fill="auto"/>
          </w:tcPr>
          <w:p w:rsidR="00074083" w:rsidRPr="00074083" w:rsidRDefault="001C696C" w:rsidP="00074083">
            <w:pPr>
              <w:pBdr>
                <w:bottom w:val="single" w:sz="4" w:space="1" w:color="auto"/>
              </w:pBdr>
              <w:rPr>
                <w:rFonts w:eastAsia="Calibri"/>
                <w:i/>
                <w:sz w:val="18"/>
                <w:szCs w:val="18"/>
                <w:lang w:eastAsia="en-US"/>
              </w:rPr>
            </w:pPr>
            <w:proofErr w:type="gramStart"/>
            <w:r w:rsidRPr="00074083">
              <w:rPr>
                <w:sz w:val="18"/>
                <w:szCs w:val="1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1F28A1" w:rsidRPr="00074083">
              <w:rPr>
                <w:sz w:val="18"/>
                <w:szCs w:val="18"/>
              </w:rPr>
              <w:t xml:space="preserve"> </w:t>
            </w:r>
            <w:r w:rsidR="00E44DCB">
              <w:rPr>
                <w:sz w:val="18"/>
                <w:szCs w:val="18"/>
              </w:rPr>
              <w:t xml:space="preserve">проблема не может быть решена без вмешательства со стороны органов власти так </w:t>
            </w:r>
            <w:proofErr w:type="spellStart"/>
            <w:r w:rsidR="00E44DCB">
              <w:rPr>
                <w:sz w:val="18"/>
                <w:szCs w:val="18"/>
              </w:rPr>
              <w:t>кака</w:t>
            </w:r>
            <w:proofErr w:type="spellEnd"/>
            <w:r w:rsidR="00E44DCB">
              <w:rPr>
                <w:sz w:val="18"/>
                <w:szCs w:val="18"/>
              </w:rPr>
              <w:t xml:space="preserve"> </w:t>
            </w:r>
            <w:proofErr w:type="spellStart"/>
            <w:r w:rsidR="00E44DCB">
              <w:rPr>
                <w:sz w:val="18"/>
                <w:szCs w:val="18"/>
              </w:rPr>
              <w:t>в</w:t>
            </w:r>
            <w:r w:rsidR="00074083" w:rsidRPr="00074083">
              <w:rPr>
                <w:rFonts w:eastAsia="Calibri"/>
                <w:i/>
                <w:sz w:val="18"/>
                <w:szCs w:val="18"/>
                <w:lang w:eastAsia="en-US"/>
              </w:rPr>
              <w:t>В</w:t>
            </w:r>
            <w:proofErr w:type="spellEnd"/>
            <w:r w:rsidR="00074083" w:rsidRPr="00074083">
              <w:rPr>
                <w:rFonts w:eastAsia="Calibri"/>
                <w:i/>
                <w:sz w:val="18"/>
                <w:szCs w:val="18"/>
                <w:lang w:eastAsia="en-US"/>
              </w:rPr>
              <w:t xml:space="preserve">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      </w:r>
            <w:proofErr w:type="gramEnd"/>
            <w:r w:rsidR="00074083" w:rsidRPr="00074083">
              <w:rPr>
                <w:rFonts w:eastAsia="Calibri"/>
                <w:i/>
                <w:sz w:val="18"/>
                <w:szCs w:val="18"/>
                <w:lang w:eastAsia="en-US"/>
              </w:rPr>
              <w:t xml:space="preserve"> Российской Федерации и муниципальных программ формирования современной городской среды», в правила предоставления и распределения субсидий из бюджета субъекта Российской Федерации, предусмотренные пунктом 11 настоящих Правил, </w:t>
            </w:r>
            <w:proofErr w:type="gramStart"/>
            <w:r w:rsidR="00074083" w:rsidRPr="00074083">
              <w:rPr>
                <w:rFonts w:eastAsia="Calibri"/>
                <w:i/>
                <w:sz w:val="18"/>
                <w:szCs w:val="18"/>
                <w:lang w:eastAsia="en-US"/>
              </w:rPr>
              <w:t>включаются</w:t>
            </w:r>
            <w:proofErr w:type="gramEnd"/>
            <w:r w:rsidR="00074083" w:rsidRPr="00074083">
              <w:rPr>
                <w:rFonts w:eastAsia="Calibri"/>
                <w:i/>
                <w:sz w:val="18"/>
                <w:szCs w:val="18"/>
                <w:lang w:eastAsia="en-US"/>
              </w:rPr>
              <w:t xml:space="preserve"> в том числе следующие обязательства муниципальных образований - получателей субсидий из бюджета субъекта Российской Федерации:</w:t>
            </w:r>
          </w:p>
          <w:p w:rsidR="00074083" w:rsidRPr="00074083" w:rsidRDefault="00074083" w:rsidP="00074083">
            <w:pPr>
              <w:pBdr>
                <w:bottom w:val="single" w:sz="4" w:space="1" w:color="auto"/>
              </w:pBdr>
              <w:rPr>
                <w:rFonts w:eastAsia="Calibri"/>
                <w:i/>
                <w:sz w:val="18"/>
                <w:szCs w:val="18"/>
                <w:lang w:eastAsia="en-US"/>
              </w:rPr>
            </w:pPr>
            <w:proofErr w:type="gramStart"/>
            <w:r w:rsidRPr="00074083">
              <w:rPr>
                <w:rFonts w:eastAsia="Calibri"/>
                <w:i/>
                <w:sz w:val="18"/>
                <w:szCs w:val="18"/>
                <w:lang w:eastAsia="en-US"/>
              </w:rPr>
              <w:t>- 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 (в случае принятия субъектом Российской Федерации решения о таком участии).</w:t>
            </w:r>
            <w:proofErr w:type="gramEnd"/>
          </w:p>
          <w:p w:rsidR="001C696C" w:rsidRPr="00074083" w:rsidRDefault="00074083" w:rsidP="00074083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074083">
              <w:rPr>
                <w:rFonts w:eastAsia="Calibri"/>
                <w:i/>
                <w:sz w:val="18"/>
                <w:szCs w:val="18"/>
                <w:lang w:eastAsia="en-US"/>
              </w:rPr>
              <w:t xml:space="preserve">- порядок общественного обсуждения проекта муниципальной программы на 2018-2022 годы, </w:t>
            </w:r>
            <w:proofErr w:type="gramStart"/>
            <w:r w:rsidRPr="00074083">
              <w:rPr>
                <w:rFonts w:eastAsia="Calibri"/>
                <w:i/>
                <w:sz w:val="18"/>
                <w:szCs w:val="18"/>
                <w:lang w:eastAsia="en-US"/>
              </w:rPr>
              <w:t>предусматривающий</w:t>
            </w:r>
            <w:proofErr w:type="gramEnd"/>
            <w:r w:rsidRPr="00074083">
              <w:rPr>
                <w:rFonts w:eastAsia="Calibri"/>
                <w:i/>
                <w:sz w:val="18"/>
                <w:szCs w:val="18"/>
                <w:lang w:eastAsia="en-US"/>
              </w:rPr>
              <w:t xml:space="preserve">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порядке.</w:t>
            </w:r>
          </w:p>
        </w:tc>
      </w:tr>
      <w:tr w:rsidR="001C696C" w:rsidRPr="003A2E79" w:rsidTr="001F28A1">
        <w:trPr>
          <w:trHeight w:val="250"/>
        </w:trPr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4658" w:type="pct"/>
            <w:shd w:val="clear" w:color="auto" w:fill="auto"/>
          </w:tcPr>
          <w:p w:rsidR="001C696C" w:rsidRPr="00074083" w:rsidRDefault="001C696C" w:rsidP="001F28A1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074083">
              <w:rPr>
                <w:sz w:val="18"/>
                <w:szCs w:val="18"/>
              </w:rPr>
              <w:t>Источники данных:</w:t>
            </w:r>
            <w:r w:rsidR="001F28A1" w:rsidRPr="00074083">
              <w:rPr>
                <w:sz w:val="18"/>
                <w:szCs w:val="18"/>
              </w:rPr>
              <w:t xml:space="preserve"> отсутствуют</w:t>
            </w:r>
          </w:p>
        </w:tc>
      </w:tr>
      <w:tr w:rsidR="001C696C" w:rsidRPr="003A2E79" w:rsidTr="00770128"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4658" w:type="pct"/>
            <w:shd w:val="clear" w:color="auto" w:fill="auto"/>
          </w:tcPr>
          <w:p w:rsidR="001C696C" w:rsidRPr="00074083" w:rsidRDefault="001C696C" w:rsidP="001F28A1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074083">
              <w:rPr>
                <w:sz w:val="18"/>
                <w:szCs w:val="18"/>
              </w:rPr>
              <w:t>Иная информация о проблеме:</w:t>
            </w:r>
            <w:r w:rsidR="001F28A1" w:rsidRPr="00074083">
              <w:rPr>
                <w:sz w:val="18"/>
                <w:szCs w:val="18"/>
              </w:rPr>
              <w:t xml:space="preserve"> </w:t>
            </w:r>
            <w:r w:rsidR="001F28A1" w:rsidRPr="00074083">
              <w:rPr>
                <w:rFonts w:eastAsia="Calibri"/>
                <w:i/>
                <w:sz w:val="18"/>
                <w:szCs w:val="18"/>
                <w:lang w:eastAsia="en-US"/>
              </w:rPr>
              <w:t>отсутствует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4. Опыт решения </w:t>
      </w:r>
      <w:proofErr w:type="gramStart"/>
      <w:r w:rsidRPr="003A2E79">
        <w:rPr>
          <w:sz w:val="18"/>
          <w:szCs w:val="18"/>
        </w:rPr>
        <w:t>аналогичных проблем</w:t>
      </w:r>
      <w:proofErr w:type="gramEnd"/>
      <w:r w:rsidRPr="003A2E79">
        <w:rPr>
          <w:sz w:val="18"/>
          <w:szCs w:val="18"/>
        </w:rPr>
        <w:t xml:space="preserve"> в других субъектах </w:t>
      </w: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8786"/>
      </w:tblGrid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1C696C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Опыт решения </w:t>
            </w:r>
            <w:proofErr w:type="gramStart"/>
            <w:r w:rsidRPr="003A2E79">
              <w:rPr>
                <w:sz w:val="18"/>
                <w:szCs w:val="18"/>
              </w:rPr>
              <w:t>аналогичных проблем</w:t>
            </w:r>
            <w:proofErr w:type="gramEnd"/>
            <w:r w:rsidRPr="003A2E79">
              <w:rPr>
                <w:sz w:val="18"/>
                <w:szCs w:val="18"/>
              </w:rPr>
              <w:t xml:space="preserve">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5D7898" w:rsidRPr="0085351B" w:rsidRDefault="00266652" w:rsidP="005D789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5D7898" w:rsidRPr="0085351B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муниципального образования «Город Сосенский» от 29 марта 2017 года № 82 «Об утверждении Порядка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городского поселения «Город Сосенский»</w:t>
            </w:r>
          </w:p>
          <w:p w:rsidR="001C696C" w:rsidRPr="001F28A1" w:rsidRDefault="005D7898" w:rsidP="0085351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5351B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администрации </w:t>
            </w:r>
            <w:r w:rsidR="00266B5F" w:rsidRPr="0085351B">
              <w:rPr>
                <w:rFonts w:eastAsiaTheme="minorHAnsi"/>
                <w:sz w:val="18"/>
                <w:szCs w:val="18"/>
                <w:lang w:eastAsia="en-US"/>
              </w:rPr>
              <w:t xml:space="preserve"> города Ханты-Мансийска</w:t>
            </w:r>
            <w:r w:rsidR="00266B5F" w:rsidRPr="0085351B">
              <w:rPr>
                <w:sz w:val="18"/>
                <w:szCs w:val="18"/>
              </w:rPr>
              <w:t xml:space="preserve"> </w:t>
            </w:r>
            <w:r w:rsidR="00266B5F" w:rsidRPr="0085351B">
              <w:rPr>
                <w:rFonts w:eastAsiaTheme="minorHAnsi"/>
                <w:sz w:val="18"/>
                <w:szCs w:val="18"/>
                <w:lang w:eastAsia="en-US"/>
              </w:rPr>
              <w:t>от 3 июля 2017 г. N 587</w:t>
            </w:r>
            <w:r w:rsidR="00266B5F" w:rsidRPr="0085351B">
              <w:rPr>
                <w:sz w:val="18"/>
                <w:szCs w:val="18"/>
              </w:rPr>
              <w:t xml:space="preserve"> «О порядке аккумулирования </w:t>
            </w:r>
            <w:r w:rsidR="0085351B" w:rsidRPr="0085351B">
              <w:rPr>
                <w:sz w:val="18"/>
                <w:szCs w:val="18"/>
              </w:rPr>
              <w:t>и расходования средств заинтересованных лиц, направленных на выполнение минимального, дополнительного перечней работ по благоустройству дворовых территорий»</w:t>
            </w:r>
            <w:r w:rsidR="0085351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1C696C" w:rsidRPr="003A2E79" w:rsidRDefault="001C696C" w:rsidP="0085351B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  <w:r w:rsidR="001F28A1">
              <w:rPr>
                <w:sz w:val="18"/>
                <w:szCs w:val="18"/>
              </w:rPr>
              <w:t xml:space="preserve"> </w:t>
            </w:r>
            <w:r w:rsidR="00024058">
              <w:rPr>
                <w:i/>
                <w:sz w:val="18"/>
                <w:szCs w:val="18"/>
              </w:rPr>
              <w:t xml:space="preserve"> </w:t>
            </w:r>
            <w:r w:rsidR="00FA2C02" w:rsidRPr="00FA2C02">
              <w:rPr>
                <w:i/>
                <w:sz w:val="18"/>
                <w:szCs w:val="18"/>
              </w:rPr>
              <w:t>Информационно-правовая система «Консультант»</w:t>
            </w:r>
            <w:r w:rsidR="000B2C7B">
              <w:rPr>
                <w:i/>
                <w:sz w:val="18"/>
                <w:szCs w:val="18"/>
              </w:rPr>
              <w:t>,</w:t>
            </w:r>
            <w:r w:rsidR="000B2C7B">
              <w:t xml:space="preserve"> </w:t>
            </w:r>
            <w:r w:rsidR="000B2C7B" w:rsidRPr="000B2C7B">
              <w:rPr>
                <w:i/>
                <w:sz w:val="18"/>
                <w:szCs w:val="18"/>
              </w:rPr>
              <w:t xml:space="preserve">официальные сайты органов местного самоуправления администраций </w:t>
            </w:r>
            <w:r w:rsidR="0085351B">
              <w:rPr>
                <w:i/>
                <w:sz w:val="18"/>
                <w:szCs w:val="18"/>
              </w:rPr>
              <w:t xml:space="preserve"> </w:t>
            </w:r>
            <w:r w:rsidR="000B2C7B" w:rsidRPr="000B2C7B">
              <w:rPr>
                <w:i/>
                <w:sz w:val="18"/>
                <w:szCs w:val="18"/>
              </w:rPr>
              <w:t xml:space="preserve"> города Сосенский</w:t>
            </w:r>
            <w:r w:rsidR="0085351B">
              <w:rPr>
                <w:i/>
                <w:sz w:val="18"/>
                <w:szCs w:val="18"/>
              </w:rPr>
              <w:t xml:space="preserve">, </w:t>
            </w:r>
            <w:proofErr w:type="gramStart"/>
            <w:r w:rsidR="001E5E4F">
              <w:rPr>
                <w:i/>
                <w:sz w:val="18"/>
                <w:szCs w:val="18"/>
              </w:rPr>
              <w:t>г</w:t>
            </w:r>
            <w:proofErr w:type="gramEnd"/>
            <w:r w:rsidR="001E5E4F">
              <w:rPr>
                <w:i/>
                <w:sz w:val="18"/>
                <w:szCs w:val="18"/>
              </w:rPr>
              <w:t>.</w:t>
            </w:r>
            <w:r w:rsidR="001E5E4F" w:rsidRPr="000B2C7B">
              <w:rPr>
                <w:i/>
                <w:sz w:val="18"/>
                <w:szCs w:val="18"/>
              </w:rPr>
              <w:t>.</w:t>
            </w:r>
            <w:r w:rsidR="001E5E4F" w:rsidRPr="0085351B">
              <w:rPr>
                <w:i/>
                <w:sz w:val="18"/>
                <w:szCs w:val="18"/>
              </w:rPr>
              <w:t xml:space="preserve"> Ханты-Мансийска</w:t>
            </w:r>
            <w:r w:rsidR="0085351B">
              <w:rPr>
                <w:i/>
                <w:sz w:val="18"/>
                <w:szCs w:val="18"/>
              </w:rPr>
              <w:t>.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5.  Цели предлагаемого регулирования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3715"/>
        <w:gridCol w:w="771"/>
        <w:gridCol w:w="4215"/>
      </w:tblGrid>
      <w:tr w:rsidR="001C696C" w:rsidRPr="003A2E79" w:rsidTr="001F28A1">
        <w:trPr>
          <w:trHeight w:val="570"/>
        </w:trPr>
        <w:tc>
          <w:tcPr>
            <w:tcW w:w="405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351B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351B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1C696C" w:rsidRPr="003A2E79" w:rsidTr="00770128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1C696C" w:rsidRPr="001F28A1" w:rsidRDefault="00E44DCB" w:rsidP="00E44DCB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934219" w:rsidRPr="00934219">
              <w:rPr>
                <w:rFonts w:eastAsia="Calibri"/>
                <w:sz w:val="18"/>
                <w:szCs w:val="18"/>
                <w:lang w:eastAsia="en-US"/>
              </w:rPr>
              <w:t>Создание условий для системного повышения качества и комфорта городской среды на всей территории Кондинского района.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1C696C" w:rsidRPr="003A2E79" w:rsidRDefault="008A6FAD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A6FAD">
              <w:rPr>
                <w:rFonts w:eastAsia="Calibri"/>
                <w:sz w:val="18"/>
                <w:szCs w:val="18"/>
                <w:lang w:eastAsia="en-US"/>
              </w:rPr>
              <w:t>2018-2022 годы.</w:t>
            </w:r>
          </w:p>
        </w:tc>
      </w:tr>
      <w:tr w:rsidR="001C696C" w:rsidRPr="003A2E79" w:rsidTr="001F28A1">
        <w:tc>
          <w:tcPr>
            <w:tcW w:w="405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5" w:type="pct"/>
            <w:gridSpan w:val="3"/>
            <w:shd w:val="clear" w:color="auto" w:fill="auto"/>
          </w:tcPr>
          <w:p w:rsidR="001C696C" w:rsidRPr="001F28A1" w:rsidRDefault="001C696C" w:rsidP="00934219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Обоснование соответствия целей предлагаемого регулирования принципам правового регулирования</w:t>
            </w:r>
            <w:r w:rsidR="001F28A1">
              <w:rPr>
                <w:sz w:val="18"/>
                <w:szCs w:val="18"/>
              </w:rPr>
              <w:t xml:space="preserve">: </w:t>
            </w:r>
            <w:r w:rsidR="008D0354">
              <w:rPr>
                <w:rFonts w:ascii="yandex-sans" w:hAnsi="yandex-sans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934219">
              <w:rPr>
                <w:rFonts w:ascii="yandex-sans" w:hAnsi="yandex-sans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934219" w:rsidRPr="00934219">
              <w:rPr>
                <w:rFonts w:ascii="yandex-sans" w:hAnsi="yandex-sans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  </w:t>
            </w:r>
          </w:p>
        </w:tc>
      </w:tr>
      <w:tr w:rsidR="001C696C" w:rsidRPr="003A2E79" w:rsidTr="001F28A1">
        <w:tc>
          <w:tcPr>
            <w:tcW w:w="405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5" w:type="pct"/>
            <w:gridSpan w:val="3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Иная информация о целях предлагаемого регулирования:</w:t>
            </w:r>
            <w:r w:rsidR="001F28A1">
              <w:rPr>
                <w:sz w:val="18"/>
                <w:szCs w:val="18"/>
              </w:rPr>
              <w:t xml:space="preserve"> отсутствует</w:t>
            </w:r>
          </w:p>
          <w:p w:rsidR="001C696C" w:rsidRPr="003A2E79" w:rsidRDefault="001C696C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6. Описание предлагаемого регулирования и иных возможных </w:t>
      </w: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способов решения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8786"/>
      </w:tblGrid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1C696C" w:rsidRPr="000845F7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0845F7">
              <w:rPr>
                <w:sz w:val="18"/>
                <w:szCs w:val="18"/>
              </w:rPr>
              <w:t xml:space="preserve">Описание предлагаемого способа решения проблемы и </w:t>
            </w:r>
            <w:proofErr w:type="gramStart"/>
            <w:r w:rsidRPr="000845F7">
              <w:rPr>
                <w:sz w:val="18"/>
                <w:szCs w:val="18"/>
              </w:rPr>
              <w:t>преодоления</w:t>
            </w:r>
            <w:proofErr w:type="gramEnd"/>
            <w:r w:rsidRPr="000845F7">
              <w:rPr>
                <w:sz w:val="18"/>
                <w:szCs w:val="18"/>
              </w:rPr>
              <w:t xml:space="preserve"> связанных с ней негативных эффектов:</w:t>
            </w:r>
          </w:p>
          <w:p w:rsidR="001C696C" w:rsidRPr="000845F7" w:rsidRDefault="00D21B91" w:rsidP="00865EB6">
            <w:pPr>
              <w:spacing w:after="200"/>
              <w:contextualSpacing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845F7">
              <w:rPr>
                <w:sz w:val="18"/>
                <w:szCs w:val="18"/>
              </w:rPr>
              <w:t xml:space="preserve"> </w:t>
            </w:r>
            <w:r w:rsidR="00865EB6" w:rsidRPr="000845F7">
              <w:rPr>
                <w:sz w:val="18"/>
                <w:szCs w:val="18"/>
              </w:rPr>
              <w:t xml:space="preserve"> </w:t>
            </w:r>
            <w:r w:rsidR="00402FD7" w:rsidRPr="000845F7">
              <w:rPr>
                <w:sz w:val="18"/>
                <w:szCs w:val="18"/>
              </w:rPr>
              <w:t xml:space="preserve">Предпочтительным вариантом является утверждение нормативно-правового акта. Это </w:t>
            </w:r>
            <w:proofErr w:type="gramStart"/>
            <w:r w:rsidR="00402FD7" w:rsidRPr="000845F7">
              <w:rPr>
                <w:sz w:val="18"/>
                <w:szCs w:val="18"/>
              </w:rPr>
              <w:t>позволит достигнуть</w:t>
            </w:r>
            <w:proofErr w:type="gramEnd"/>
            <w:r w:rsidR="00402FD7" w:rsidRPr="000845F7">
              <w:rPr>
                <w:sz w:val="18"/>
                <w:szCs w:val="18"/>
              </w:rPr>
              <w:t xml:space="preserve"> поставленные цели предполагаемого правового регулирования.</w:t>
            </w:r>
          </w:p>
        </w:tc>
      </w:tr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1C696C" w:rsidRPr="003A2E79" w:rsidRDefault="001C696C" w:rsidP="001F28A1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proofErr w:type="gramStart"/>
            <w:r w:rsidRPr="003A2E79">
              <w:rPr>
                <w:sz w:val="18"/>
                <w:szCs w:val="18"/>
              </w:rPr>
              <w:t>:</w:t>
            </w:r>
            <w:r w:rsidR="001F28A1">
              <w:rPr>
                <w:rFonts w:eastAsia="Calibri"/>
                <w:i/>
                <w:sz w:val="18"/>
                <w:szCs w:val="18"/>
                <w:lang w:eastAsia="en-US"/>
              </w:rPr>
              <w:t>о</w:t>
            </w:r>
            <w:proofErr w:type="gramEnd"/>
            <w:r w:rsidR="001F28A1">
              <w:rPr>
                <w:rFonts w:eastAsia="Calibri"/>
                <w:i/>
                <w:sz w:val="18"/>
                <w:szCs w:val="18"/>
                <w:lang w:eastAsia="en-US"/>
              </w:rPr>
              <w:t>тсутствует</w:t>
            </w:r>
          </w:p>
        </w:tc>
      </w:tr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1C696C" w:rsidRPr="003A2E79" w:rsidRDefault="001C696C" w:rsidP="00E44DC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Обоснование выбора предлагаемого способа решения проблемы:</w:t>
            </w:r>
            <w:r w:rsidR="00E44DCB">
              <w:rPr>
                <w:rFonts w:ascii="yandex-sans" w:hAnsi="yandex-sans"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="00E44DCB" w:rsidRPr="00E44DCB">
              <w:rPr>
                <w:rFonts w:ascii="yandex-sans" w:hAnsi="yandex-sans"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отсутствует</w:t>
            </w:r>
          </w:p>
        </w:tc>
      </w:tr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1C696C" w:rsidRPr="003A2E79" w:rsidRDefault="001C696C" w:rsidP="001F28A1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Иная информация о предлагаемом способе решения проблемы:</w:t>
            </w:r>
            <w:r w:rsidR="007507AD">
              <w:rPr>
                <w:sz w:val="18"/>
                <w:szCs w:val="18"/>
              </w:rPr>
              <w:t xml:space="preserve"> </w:t>
            </w:r>
            <w:r w:rsidR="001F28A1">
              <w:rPr>
                <w:rFonts w:eastAsia="Calibri"/>
                <w:i/>
                <w:sz w:val="18"/>
                <w:szCs w:val="18"/>
                <w:lang w:eastAsia="en-US"/>
              </w:rPr>
              <w:t>отсутствует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lastRenderedPageBreak/>
        <w:t>7. 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763"/>
        <w:gridCol w:w="780"/>
        <w:gridCol w:w="4151"/>
      </w:tblGrid>
      <w:tr w:rsidR="001C696C" w:rsidRPr="003A2E79" w:rsidTr="00770128">
        <w:trPr>
          <w:trHeight w:val="55"/>
        </w:trPr>
        <w:tc>
          <w:tcPr>
            <w:tcW w:w="409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Оценка количества участников отношений:</w:t>
            </w:r>
          </w:p>
        </w:tc>
      </w:tr>
      <w:tr w:rsidR="001C696C" w:rsidRPr="003A2E79" w:rsidTr="00770128">
        <w:trPr>
          <w:trHeight w:val="701"/>
        </w:trPr>
        <w:tc>
          <w:tcPr>
            <w:tcW w:w="2396" w:type="pct"/>
            <w:gridSpan w:val="2"/>
            <w:shd w:val="clear" w:color="auto" w:fill="auto"/>
          </w:tcPr>
          <w:p w:rsidR="001C696C" w:rsidRPr="003A2E79" w:rsidRDefault="00945DE6" w:rsidP="001A1551">
            <w:pPr>
              <w:autoSpaceDE w:val="0"/>
              <w:autoSpaceDN w:val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2E255C">
              <w:rPr>
                <w:rFonts w:eastAsia="Calibri"/>
                <w:sz w:val="18"/>
                <w:szCs w:val="18"/>
                <w:lang w:eastAsia="en-US"/>
              </w:rPr>
              <w:t xml:space="preserve"> заинтересованные</w:t>
            </w:r>
            <w:r w:rsidR="006712BD">
              <w:rPr>
                <w:rFonts w:eastAsia="Calibri"/>
                <w:sz w:val="18"/>
                <w:szCs w:val="18"/>
                <w:lang w:eastAsia="en-US"/>
              </w:rPr>
              <w:t xml:space="preserve"> лица</w:t>
            </w:r>
            <w:r w:rsidR="002E255C" w:rsidRPr="002E255C">
              <w:rPr>
                <w:rFonts w:eastAsia="Calibri"/>
                <w:sz w:val="18"/>
                <w:szCs w:val="18"/>
                <w:lang w:eastAsia="en-US"/>
              </w:rPr>
              <w:t>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</w:t>
            </w:r>
            <w:r w:rsidR="00F84D8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1C696C" w:rsidRPr="003A2E79" w:rsidRDefault="00442065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42065">
              <w:rPr>
                <w:sz w:val="18"/>
                <w:szCs w:val="18"/>
              </w:rPr>
              <w:t>275</w:t>
            </w:r>
            <w:r>
              <w:rPr>
                <w:sz w:val="18"/>
                <w:szCs w:val="18"/>
              </w:rPr>
              <w:t xml:space="preserve"> участников</w:t>
            </w:r>
          </w:p>
        </w:tc>
      </w:tr>
      <w:tr w:rsidR="001C696C" w:rsidRPr="003A2E79" w:rsidTr="00770128">
        <w:tc>
          <w:tcPr>
            <w:tcW w:w="409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84D89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F84D89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1C696C" w:rsidRPr="003A2E79" w:rsidRDefault="001C696C" w:rsidP="00442065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  <w:r w:rsidR="00726426">
              <w:rPr>
                <w:sz w:val="18"/>
                <w:szCs w:val="18"/>
              </w:rPr>
              <w:t xml:space="preserve"> </w:t>
            </w:r>
            <w:r w:rsidR="00442065">
              <w:rPr>
                <w:sz w:val="18"/>
                <w:szCs w:val="18"/>
              </w:rPr>
              <w:t xml:space="preserve"> муниципальная программа</w:t>
            </w:r>
            <w:r w:rsidR="00442065" w:rsidRPr="00442065">
              <w:rPr>
                <w:sz w:val="18"/>
                <w:szCs w:val="18"/>
              </w:rPr>
              <w:t xml:space="preserve"> «Формирование комфортной городской среды в Кондинском районе на 2018-2022гг.»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7.1. Анализ влияния социально-экономических последствий</w:t>
      </w: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реализации проекта муниципального нормативного правового акта на деятельность субъектов малого и среднего предпринимательства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1"/>
        <w:gridCol w:w="2064"/>
        <w:gridCol w:w="209"/>
        <w:gridCol w:w="536"/>
        <w:gridCol w:w="1767"/>
        <w:gridCol w:w="153"/>
        <w:gridCol w:w="13"/>
        <w:gridCol w:w="553"/>
        <w:gridCol w:w="1505"/>
      </w:tblGrid>
      <w:tr w:rsidR="001C696C" w:rsidRPr="003A2E79" w:rsidTr="002A67AF">
        <w:trPr>
          <w:trHeight w:val="639"/>
        </w:trPr>
        <w:tc>
          <w:tcPr>
            <w:tcW w:w="2915" w:type="pct"/>
            <w:gridSpan w:val="4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7.1.1. Оценка структуры регулируемых субъектов по категориям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Количественная (интервальная оценка)</w:t>
            </w:r>
          </w:p>
        </w:tc>
        <w:tc>
          <w:tcPr>
            <w:tcW w:w="786" w:type="pct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Удельный вес</w:t>
            </w:r>
            <w:proofErr w:type="gramStart"/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</w:tr>
      <w:tr w:rsidR="001C696C" w:rsidRPr="003A2E79" w:rsidTr="002A67AF">
        <w:trPr>
          <w:trHeight w:val="423"/>
        </w:trPr>
        <w:tc>
          <w:tcPr>
            <w:tcW w:w="2915" w:type="pct"/>
            <w:gridSpan w:val="4"/>
            <w:shd w:val="clear" w:color="auto" w:fill="auto"/>
          </w:tcPr>
          <w:p w:rsidR="001C696C" w:rsidRPr="003A2E79" w:rsidRDefault="001C696C" w:rsidP="00770128">
            <w:pPr>
              <w:tabs>
                <w:tab w:val="center" w:pos="2922"/>
                <w:tab w:val="left" w:pos="5016"/>
              </w:tabs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A2E79">
              <w:rPr>
                <w:rFonts w:eastAsia="Calibri"/>
                <w:sz w:val="18"/>
                <w:szCs w:val="18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1299" w:type="pct"/>
            <w:gridSpan w:val="4"/>
            <w:shd w:val="clear" w:color="auto" w:fill="auto"/>
          </w:tcPr>
          <w:p w:rsidR="001C696C" w:rsidRPr="003A2E79" w:rsidRDefault="00442065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86" w:type="pct"/>
          </w:tcPr>
          <w:p w:rsidR="001C696C" w:rsidRPr="003A2E79" w:rsidRDefault="00614D65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92,2%</w:t>
            </w:r>
          </w:p>
        </w:tc>
      </w:tr>
      <w:tr w:rsidR="001C696C" w:rsidRPr="003A2E79" w:rsidTr="002A67AF">
        <w:trPr>
          <w:trHeight w:val="387"/>
        </w:trPr>
        <w:tc>
          <w:tcPr>
            <w:tcW w:w="2915" w:type="pct"/>
            <w:gridSpan w:val="4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Малые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1C696C" w:rsidRPr="003A2E79" w:rsidRDefault="00442065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86" w:type="pct"/>
          </w:tcPr>
          <w:p w:rsidR="001C696C" w:rsidRPr="003A2E79" w:rsidRDefault="00614D65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7,8%</w:t>
            </w:r>
          </w:p>
        </w:tc>
      </w:tr>
      <w:tr w:rsidR="001C696C" w:rsidRPr="003A2E79" w:rsidTr="002A67AF">
        <w:trPr>
          <w:trHeight w:val="355"/>
        </w:trPr>
        <w:tc>
          <w:tcPr>
            <w:tcW w:w="2915" w:type="pct"/>
            <w:gridSpan w:val="4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Средние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1C696C" w:rsidRPr="003A2E79" w:rsidRDefault="007333A0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6" w:type="pct"/>
          </w:tcPr>
          <w:p w:rsidR="001C696C" w:rsidRPr="003A2E79" w:rsidRDefault="007333A0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2A67AF">
        <w:trPr>
          <w:trHeight w:val="347"/>
        </w:trPr>
        <w:tc>
          <w:tcPr>
            <w:tcW w:w="2915" w:type="pct"/>
            <w:gridSpan w:val="4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Крупные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1C696C" w:rsidRPr="003A2E79" w:rsidRDefault="007333A0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6" w:type="pct"/>
          </w:tcPr>
          <w:p w:rsidR="001C696C" w:rsidRPr="003A2E79" w:rsidRDefault="007333A0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770128">
        <w:trPr>
          <w:trHeight w:val="393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E03477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7.1.2. Источники </w:t>
            </w:r>
            <w:r w:rsidRPr="00E03477">
              <w:rPr>
                <w:sz w:val="18"/>
                <w:szCs w:val="18"/>
              </w:rPr>
              <w:t>данных:</w:t>
            </w:r>
            <w:r w:rsidR="00C671BD" w:rsidRPr="00C671BD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E03477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комитет</w:t>
            </w:r>
            <w:r w:rsidR="00C671BD" w:rsidRPr="00E03477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671BD" w:rsidRPr="00E03477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несырьевого</w:t>
            </w:r>
            <w:proofErr w:type="spellEnd"/>
            <w:r w:rsidR="00C671BD" w:rsidRPr="00E03477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сектора экономики и поддержки предпринимательства</w:t>
            </w:r>
            <w:r w:rsidR="00E03477" w:rsidRPr="00E03477">
              <w:rPr>
                <w:sz w:val="18"/>
                <w:szCs w:val="18"/>
              </w:rPr>
              <w:t xml:space="preserve"> администрации Кондинского района</w:t>
            </w:r>
          </w:p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1C696C" w:rsidRPr="003A2E79" w:rsidTr="00770128">
        <w:trPr>
          <w:trHeight w:val="1407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B6088">
              <w:rPr>
                <w:rFonts w:eastAsia="Calibri"/>
                <w:sz w:val="18"/>
                <w:szCs w:val="18"/>
                <w:lang w:eastAsia="en-US"/>
              </w:rPr>
              <w:t xml:space="preserve">7.1.3. Оценка влияния проекта </w:t>
            </w:r>
            <w:r w:rsidRPr="000B6088">
              <w:rPr>
                <w:sz w:val="18"/>
                <w:szCs w:val="18"/>
              </w:rPr>
              <w:t>муниципального</w:t>
            </w:r>
            <w:r w:rsidRPr="000B6088">
              <w:rPr>
                <w:rFonts w:eastAsia="Calibri"/>
                <w:sz w:val="18"/>
                <w:szCs w:val="18"/>
                <w:lang w:eastAsia="en-US"/>
              </w:rPr>
              <w:t xml:space="preserve"> нормативного правового акта на достижение целевых ориентиров Стратегии развития малого и среднего предпринимательства в Российской Федерации</w:t>
            </w:r>
            <w:r w:rsidRPr="000B6088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  <w:p w:rsidR="001C696C" w:rsidRPr="003A2E79" w:rsidRDefault="002564D1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влияет</w:t>
            </w:r>
          </w:p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1C696C" w:rsidRPr="003A2E79" w:rsidTr="00770128">
        <w:trPr>
          <w:trHeight w:val="390"/>
        </w:trPr>
        <w:tc>
          <w:tcPr>
            <w:tcW w:w="2526" w:type="pct"/>
            <w:gridSpan w:val="2"/>
            <w:vMerge w:val="restar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7.1.4. Описание социально-экономических последствий реализации проекта нормативного правового акта</w:t>
            </w:r>
          </w:p>
        </w:tc>
        <w:tc>
          <w:tcPr>
            <w:tcW w:w="2474" w:type="pct"/>
            <w:gridSpan w:val="7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7.1.5 Количественная оценка</w:t>
            </w:r>
          </w:p>
        </w:tc>
      </w:tr>
      <w:tr w:rsidR="001C696C" w:rsidRPr="003A2E79" w:rsidTr="002A67AF">
        <w:trPr>
          <w:trHeight w:val="52"/>
        </w:trPr>
        <w:tc>
          <w:tcPr>
            <w:tcW w:w="2526" w:type="pct"/>
            <w:gridSpan w:val="2"/>
            <w:vMerge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2" w:type="pct"/>
            <w:gridSpan w:val="3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Единовременные</w:t>
            </w:r>
          </w:p>
        </w:tc>
        <w:tc>
          <w:tcPr>
            <w:tcW w:w="1162" w:type="pct"/>
            <w:gridSpan w:val="4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Периодические</w:t>
            </w:r>
          </w:p>
        </w:tc>
      </w:tr>
      <w:tr w:rsidR="001C696C" w:rsidRPr="003A2E79" w:rsidTr="00770128">
        <w:trPr>
          <w:trHeight w:val="339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Содержательные издержки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2"/>
            </w:r>
          </w:p>
        </w:tc>
      </w:tr>
      <w:tr w:rsidR="001C696C" w:rsidRPr="003A2E79" w:rsidTr="002A67AF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1C696C" w:rsidRPr="003A2E79" w:rsidRDefault="00772436" w:rsidP="0077243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772436">
              <w:rPr>
                <w:rFonts w:eastAsia="Calibri"/>
                <w:sz w:val="18"/>
                <w:szCs w:val="18"/>
                <w:lang w:eastAsia="en-US"/>
              </w:rPr>
              <w:t xml:space="preserve"> случае </w:t>
            </w:r>
            <w:r>
              <w:rPr>
                <w:rFonts w:eastAsia="Calibri"/>
                <w:sz w:val="18"/>
                <w:szCs w:val="18"/>
                <w:lang w:eastAsia="en-US"/>
              </w:rPr>
              <w:t>ф</w:t>
            </w:r>
            <w:r w:rsidR="001857D7">
              <w:rPr>
                <w:rFonts w:eastAsia="Calibri"/>
                <w:sz w:val="18"/>
                <w:szCs w:val="18"/>
                <w:lang w:eastAsia="en-US"/>
              </w:rPr>
              <w:t>инансово</w:t>
            </w:r>
            <w:r>
              <w:rPr>
                <w:rFonts w:eastAsia="Calibri"/>
                <w:sz w:val="18"/>
                <w:szCs w:val="18"/>
                <w:lang w:eastAsia="en-US"/>
              </w:rPr>
              <w:t>го</w:t>
            </w:r>
            <w:r w:rsidR="001857D7">
              <w:rPr>
                <w:rFonts w:eastAsia="Calibri"/>
                <w:sz w:val="18"/>
                <w:szCs w:val="18"/>
                <w:lang w:eastAsia="en-US"/>
              </w:rPr>
              <w:t xml:space="preserve"> участи</w:t>
            </w:r>
            <w:r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="001857D7" w:rsidRPr="001857D7">
              <w:rPr>
                <w:rFonts w:eastAsia="Calibri"/>
                <w:sz w:val="18"/>
                <w:szCs w:val="18"/>
                <w:lang w:eastAsia="en-US"/>
              </w:rPr>
              <w:t xml:space="preserve"> в реализации мероприятий по благо</w:t>
            </w:r>
            <w:r>
              <w:rPr>
                <w:rFonts w:eastAsia="Calibri"/>
                <w:sz w:val="18"/>
                <w:szCs w:val="18"/>
                <w:lang w:eastAsia="en-US"/>
              </w:rPr>
              <w:t>устройству дворовой территории</w:t>
            </w:r>
            <w:r w:rsidR="001857D7" w:rsidRPr="001857D7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90" w:type="pct"/>
            <w:gridSpan w:val="4"/>
          </w:tcPr>
          <w:p w:rsidR="001C696C" w:rsidRPr="003A2E79" w:rsidRDefault="00772436" w:rsidP="000F6F04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72436">
              <w:rPr>
                <w:rFonts w:eastAsia="Calibri"/>
                <w:sz w:val="18"/>
                <w:szCs w:val="18"/>
                <w:lang w:eastAsia="en-US"/>
              </w:rPr>
              <w:t xml:space="preserve">2% от сметной стоимости по минимальному перечню работ по благоустройству.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75" w:type="pct"/>
            <w:gridSpan w:val="2"/>
          </w:tcPr>
          <w:p w:rsidR="001C696C" w:rsidRPr="003A2E79" w:rsidRDefault="000F6F04" w:rsidP="000F6F04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2A67AF">
        <w:trPr>
          <w:trHeight w:val="313"/>
        </w:trPr>
        <w:tc>
          <w:tcPr>
            <w:tcW w:w="2635" w:type="pct"/>
            <w:gridSpan w:val="3"/>
            <w:shd w:val="clear" w:color="auto" w:fill="auto"/>
          </w:tcPr>
          <w:p w:rsidR="001C696C" w:rsidRPr="003A2E79" w:rsidRDefault="002A67AF" w:rsidP="002A67AF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0" w:type="pct"/>
            <w:gridSpan w:val="4"/>
          </w:tcPr>
          <w:p w:rsidR="001C696C" w:rsidRPr="003A2E79" w:rsidRDefault="000F6F04" w:rsidP="000F6F04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gridSpan w:val="2"/>
          </w:tcPr>
          <w:p w:rsidR="001C696C" w:rsidRPr="003A2E79" w:rsidRDefault="000F6F04" w:rsidP="000F6F04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770128">
        <w:trPr>
          <w:trHeight w:val="293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Информационные издержки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</w:tc>
      </w:tr>
      <w:tr w:rsidR="001C696C" w:rsidRPr="003A2E79" w:rsidTr="002A67AF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A90515" w:rsidRPr="00A90515" w:rsidRDefault="00772436" w:rsidP="00A90515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93A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F39A3" w:rsidRPr="00AF39A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90515">
              <w:rPr>
                <w:rFonts w:eastAsia="Calibri"/>
                <w:sz w:val="18"/>
                <w:szCs w:val="18"/>
                <w:lang w:eastAsia="en-US"/>
              </w:rPr>
              <w:t xml:space="preserve"> В случае</w:t>
            </w:r>
            <w:r w:rsidR="00A90515" w:rsidRPr="00A90515">
              <w:rPr>
                <w:rFonts w:eastAsia="Calibri"/>
                <w:sz w:val="18"/>
                <w:szCs w:val="18"/>
                <w:lang w:eastAsia="en-US"/>
              </w:rPr>
              <w:t xml:space="preserve"> трудового участия заинтересованных лиц совет многоквартирного дома, либо организация, осуществляющая</w:t>
            </w:r>
            <w:bookmarkStart w:id="0" w:name="_GoBack"/>
            <w:bookmarkEnd w:id="0"/>
            <w:r w:rsidR="00A90515" w:rsidRPr="00A90515">
              <w:rPr>
                <w:rFonts w:eastAsia="Calibri"/>
                <w:sz w:val="18"/>
                <w:szCs w:val="18"/>
                <w:lang w:eastAsia="en-US"/>
              </w:rPr>
              <w:t xml:space="preserve"> содержание и ремонт жилищного фонда, предоставляет в уполномоченный орган соответствующий отчет о проведении мероприятий с трудовым участием граждан, приложением к такому отчету </w:t>
            </w:r>
          </w:p>
          <w:p w:rsidR="001C696C" w:rsidRPr="003A2E79" w:rsidRDefault="00A90515" w:rsidP="00A90515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0515">
              <w:rPr>
                <w:rFonts w:eastAsia="Calibri"/>
                <w:sz w:val="18"/>
                <w:szCs w:val="18"/>
                <w:lang w:eastAsia="en-US"/>
              </w:rPr>
              <w:t>фото-, видео материалов.</w:t>
            </w:r>
            <w:r w:rsidR="00AF39A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90" w:type="pct"/>
            <w:gridSpan w:val="4"/>
          </w:tcPr>
          <w:p w:rsidR="001C696C" w:rsidRPr="003A2E79" w:rsidRDefault="00A90515" w:rsidP="00571A4C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Оценить не возможно</w:t>
            </w:r>
          </w:p>
        </w:tc>
        <w:tc>
          <w:tcPr>
            <w:tcW w:w="1075" w:type="pct"/>
            <w:gridSpan w:val="2"/>
          </w:tcPr>
          <w:p w:rsidR="001C696C" w:rsidRPr="003A2E79" w:rsidRDefault="00A90515" w:rsidP="00A90515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1857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C696C" w:rsidRPr="003A2E79" w:rsidTr="002A67AF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1C696C" w:rsidRPr="003A2E79" w:rsidRDefault="002A67AF" w:rsidP="002A67AF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0" w:type="pct"/>
            <w:gridSpan w:val="4"/>
          </w:tcPr>
          <w:p w:rsidR="001C696C" w:rsidRPr="003A2E79" w:rsidRDefault="00571A4C" w:rsidP="00571A4C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gridSpan w:val="2"/>
          </w:tcPr>
          <w:p w:rsidR="001C696C" w:rsidRPr="003A2E79" w:rsidRDefault="00571A4C" w:rsidP="00571A4C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770128">
        <w:trPr>
          <w:trHeight w:val="412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Преимущества и (или) иные выгоды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4"/>
            </w:r>
          </w:p>
        </w:tc>
      </w:tr>
      <w:tr w:rsidR="001C696C" w:rsidRPr="003A2E79" w:rsidTr="002A67AF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1C696C" w:rsidRPr="003A2E79" w:rsidRDefault="004D1BF0" w:rsidP="004D1BF0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0" w:type="pct"/>
            <w:gridSpan w:val="4"/>
          </w:tcPr>
          <w:p w:rsidR="001C696C" w:rsidRPr="003A2E79" w:rsidRDefault="00571A4C" w:rsidP="00571A4C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gridSpan w:val="2"/>
          </w:tcPr>
          <w:p w:rsidR="001C696C" w:rsidRPr="003A2E79" w:rsidRDefault="00571A4C" w:rsidP="00571A4C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2A67AF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1C696C" w:rsidRPr="003A2E79" w:rsidRDefault="002A67AF" w:rsidP="002A67AF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0" w:type="pct"/>
            <w:gridSpan w:val="4"/>
          </w:tcPr>
          <w:p w:rsidR="001C696C" w:rsidRPr="003A2E79" w:rsidRDefault="00571A4C" w:rsidP="00571A4C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gridSpan w:val="2"/>
          </w:tcPr>
          <w:p w:rsidR="001C696C" w:rsidRPr="003A2E79" w:rsidRDefault="00571A4C" w:rsidP="00571A4C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2A67AF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Преимущества и (или) иные выгоды</w:t>
            </w:r>
          </w:p>
        </w:tc>
        <w:tc>
          <w:tcPr>
            <w:tcW w:w="1290" w:type="pct"/>
            <w:gridSpan w:val="4"/>
          </w:tcPr>
          <w:p w:rsidR="001C696C" w:rsidRPr="003A2E79" w:rsidRDefault="00571A4C" w:rsidP="00571A4C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gridSpan w:val="2"/>
          </w:tcPr>
          <w:p w:rsidR="001C696C" w:rsidRPr="003A2E79" w:rsidRDefault="00571A4C" w:rsidP="00571A4C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770128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lastRenderedPageBreak/>
              <w:t>7.1.7. Источники данных:</w:t>
            </w:r>
          </w:p>
          <w:p w:rsidR="001C696C" w:rsidRPr="003A2E79" w:rsidRDefault="00D01DB0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1C696C" w:rsidRPr="003A2E79" w:rsidTr="00770128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7.1.8. Нормативно-правовые и (или) организационные меры, предпринятые для сокращения диспропорций в нагрузке, связанной с реализацией проекта </w:t>
            </w:r>
            <w:r w:rsidRPr="003A2E79">
              <w:rPr>
                <w:sz w:val="18"/>
                <w:szCs w:val="18"/>
              </w:rPr>
              <w:t>муниципального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 нормативного правового акта</w:t>
            </w:r>
          </w:p>
        </w:tc>
      </w:tr>
      <w:tr w:rsidR="001C696C" w:rsidRPr="003A2E79" w:rsidTr="00770128">
        <w:trPr>
          <w:trHeight w:val="52"/>
        </w:trPr>
        <w:tc>
          <w:tcPr>
            <w:tcW w:w="1448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Нормативно-правовые</w:t>
            </w:r>
          </w:p>
        </w:tc>
        <w:tc>
          <w:tcPr>
            <w:tcW w:w="3552" w:type="pct"/>
            <w:gridSpan w:val="8"/>
          </w:tcPr>
          <w:p w:rsidR="001C696C" w:rsidRPr="003A2E79" w:rsidRDefault="00D77B99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77B99">
              <w:rPr>
                <w:rFonts w:eastAsia="Calibri"/>
                <w:sz w:val="18"/>
                <w:szCs w:val="18"/>
                <w:lang w:eastAsia="en-US"/>
              </w:rPr>
              <w:t>Проведение публичных консультаций</w:t>
            </w:r>
          </w:p>
        </w:tc>
      </w:tr>
      <w:tr w:rsidR="001C696C" w:rsidRPr="003A2E79" w:rsidTr="00770128">
        <w:trPr>
          <w:trHeight w:val="52"/>
        </w:trPr>
        <w:tc>
          <w:tcPr>
            <w:tcW w:w="1448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Организационные </w:t>
            </w:r>
          </w:p>
        </w:tc>
        <w:tc>
          <w:tcPr>
            <w:tcW w:w="3552" w:type="pct"/>
            <w:gridSpan w:val="8"/>
          </w:tcPr>
          <w:p w:rsidR="001C696C" w:rsidRPr="003A2E79" w:rsidRDefault="00D77B99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77B99">
              <w:rPr>
                <w:rFonts w:eastAsia="Calibri"/>
                <w:sz w:val="18"/>
                <w:szCs w:val="18"/>
                <w:lang w:eastAsia="en-US"/>
              </w:rPr>
              <w:t>Опубликование проекта муниципального нормативного право</w:t>
            </w:r>
            <w:r>
              <w:rPr>
                <w:rFonts w:eastAsia="Calibri"/>
                <w:sz w:val="18"/>
                <w:szCs w:val="18"/>
                <w:lang w:eastAsia="en-US"/>
              </w:rPr>
              <w:t>вого акта в средствах массовой и</w:t>
            </w:r>
            <w:r w:rsidRPr="00D77B99">
              <w:rPr>
                <w:rFonts w:eastAsia="Calibri"/>
                <w:sz w:val="18"/>
                <w:szCs w:val="18"/>
                <w:lang w:eastAsia="en-US"/>
              </w:rPr>
              <w:t>нформации</w:t>
            </w:r>
          </w:p>
        </w:tc>
      </w:tr>
      <w:tr w:rsidR="001C696C" w:rsidRPr="003A2E79" w:rsidTr="002A67AF">
        <w:trPr>
          <w:trHeight w:val="52"/>
        </w:trPr>
        <w:tc>
          <w:tcPr>
            <w:tcW w:w="1448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7.1.9. 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467" w:type="pct"/>
            <w:gridSpan w:val="3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A2E79">
              <w:rPr>
                <w:rFonts w:eastAsia="Calibri"/>
                <w:sz w:val="18"/>
                <w:szCs w:val="18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1003" w:type="pct"/>
            <w:gridSpan w:val="2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Малые предприятия</w:t>
            </w:r>
          </w:p>
        </w:tc>
        <w:tc>
          <w:tcPr>
            <w:tcW w:w="1082" w:type="pct"/>
            <w:gridSpan w:val="3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Средние предприятия</w:t>
            </w:r>
          </w:p>
        </w:tc>
      </w:tr>
      <w:tr w:rsidR="002A67AF" w:rsidRPr="003A2E79" w:rsidTr="002A67AF">
        <w:trPr>
          <w:trHeight w:val="429"/>
        </w:trPr>
        <w:tc>
          <w:tcPr>
            <w:tcW w:w="1448" w:type="pct"/>
            <w:shd w:val="clear" w:color="auto" w:fill="auto"/>
          </w:tcPr>
          <w:p w:rsidR="002A67AF" w:rsidRPr="003A2E79" w:rsidRDefault="002564D1" w:rsidP="00C671BD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467" w:type="pct"/>
            <w:gridSpan w:val="3"/>
          </w:tcPr>
          <w:p w:rsidR="002A67AF" w:rsidRPr="003A2E79" w:rsidRDefault="002564D1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47 </w:t>
            </w:r>
          </w:p>
        </w:tc>
        <w:tc>
          <w:tcPr>
            <w:tcW w:w="1003" w:type="pct"/>
            <w:gridSpan w:val="2"/>
          </w:tcPr>
          <w:p w:rsidR="002A67AF" w:rsidRPr="003A2E79" w:rsidRDefault="002564D1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4 </w:t>
            </w:r>
          </w:p>
        </w:tc>
        <w:tc>
          <w:tcPr>
            <w:tcW w:w="1082" w:type="pct"/>
            <w:gridSpan w:val="3"/>
          </w:tcPr>
          <w:p w:rsidR="002A67AF" w:rsidRPr="003A2E79" w:rsidRDefault="001A1551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2A67AF" w:rsidRPr="003A2E79" w:rsidTr="002A67AF">
        <w:trPr>
          <w:trHeight w:val="52"/>
        </w:trPr>
        <w:tc>
          <w:tcPr>
            <w:tcW w:w="1448" w:type="pct"/>
            <w:shd w:val="clear" w:color="auto" w:fill="auto"/>
          </w:tcPr>
          <w:p w:rsidR="002A67AF" w:rsidRPr="003A2E79" w:rsidRDefault="001A1551" w:rsidP="00C671BD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564D1">
              <w:rPr>
                <w:rFonts w:eastAsia="Calibri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467" w:type="pct"/>
            <w:gridSpan w:val="3"/>
          </w:tcPr>
          <w:p w:rsidR="002A67AF" w:rsidRPr="003A2E79" w:rsidRDefault="002564D1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47</w:t>
            </w:r>
          </w:p>
        </w:tc>
        <w:tc>
          <w:tcPr>
            <w:tcW w:w="1003" w:type="pct"/>
            <w:gridSpan w:val="2"/>
          </w:tcPr>
          <w:p w:rsidR="002A67AF" w:rsidRPr="003A2E79" w:rsidRDefault="002564D1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1082" w:type="pct"/>
            <w:gridSpan w:val="3"/>
          </w:tcPr>
          <w:p w:rsidR="002A67AF" w:rsidRPr="003A2E79" w:rsidRDefault="001A1551" w:rsidP="001A1551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8. Новые функции, полномочия, обязанности и права органов местного самоуправления Кондинский район,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1C696C" w:rsidRPr="003A2E79" w:rsidTr="00770128">
        <w:tc>
          <w:tcPr>
            <w:tcW w:w="1667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1C696C" w:rsidRPr="003A2E79" w:rsidRDefault="001C696C" w:rsidP="00770128">
            <w:pPr>
              <w:tabs>
                <w:tab w:val="center" w:pos="1558"/>
                <w:tab w:val="left" w:pos="2208"/>
              </w:tabs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8.2.</w:t>
            </w:r>
            <w:r w:rsidRPr="003A2E79">
              <w:rPr>
                <w:sz w:val="18"/>
                <w:szCs w:val="18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Порядок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реализации</w:t>
            </w:r>
            <w:proofErr w:type="spellEnd"/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C696C" w:rsidRPr="003A2E79" w:rsidRDefault="001C696C" w:rsidP="00770128">
            <w:pPr>
              <w:tabs>
                <w:tab w:val="left" w:pos="1056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8.3. Оценка изменения трудозатрат и (или) потребностей в иных ресурсах</w:t>
            </w:r>
          </w:p>
        </w:tc>
      </w:tr>
      <w:tr w:rsidR="001C696C" w:rsidRPr="003A2E79" w:rsidTr="00770128">
        <w:tc>
          <w:tcPr>
            <w:tcW w:w="5000" w:type="pct"/>
            <w:gridSpan w:val="3"/>
            <w:shd w:val="clear" w:color="auto" w:fill="auto"/>
          </w:tcPr>
          <w:p w:rsidR="001C696C" w:rsidRPr="003A2E79" w:rsidRDefault="001C696C" w:rsidP="00CB62C4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органа:</w:t>
            </w:r>
            <w:r w:rsidR="00325A4E">
              <w:rPr>
                <w:sz w:val="18"/>
                <w:szCs w:val="18"/>
              </w:rPr>
              <w:t xml:space="preserve"> Администрация Кондинского района</w:t>
            </w:r>
            <w:r w:rsidR="00A61723">
              <w:rPr>
                <w:sz w:val="18"/>
                <w:szCs w:val="18"/>
              </w:rPr>
              <w:t xml:space="preserve">, муниципальное </w:t>
            </w:r>
            <w:proofErr w:type="gramStart"/>
            <w:r w:rsidR="00A61723">
              <w:rPr>
                <w:sz w:val="18"/>
                <w:szCs w:val="18"/>
              </w:rPr>
              <w:t>учреждение</w:t>
            </w:r>
            <w:proofErr w:type="gramEnd"/>
            <w:r w:rsidR="00A61723">
              <w:rPr>
                <w:sz w:val="18"/>
                <w:szCs w:val="18"/>
              </w:rPr>
              <w:t xml:space="preserve"> уполномоченное на</w:t>
            </w:r>
            <w:r w:rsidR="00CB62C4">
              <w:rPr>
                <w:sz w:val="18"/>
                <w:szCs w:val="18"/>
              </w:rPr>
              <w:t xml:space="preserve"> </w:t>
            </w:r>
            <w:r w:rsidR="00CB62C4">
              <w:t xml:space="preserve"> </w:t>
            </w:r>
            <w:r w:rsidR="00CB62C4" w:rsidRPr="00CB62C4">
              <w:rPr>
                <w:sz w:val="18"/>
                <w:szCs w:val="18"/>
              </w:rPr>
              <w:t>расходование аккумулированных денежных средств заинтересованных лиц</w:t>
            </w:r>
          </w:p>
        </w:tc>
      </w:tr>
      <w:tr w:rsidR="001C696C" w:rsidRPr="003A2E79" w:rsidTr="00770128">
        <w:tc>
          <w:tcPr>
            <w:tcW w:w="1667" w:type="pct"/>
            <w:shd w:val="clear" w:color="auto" w:fill="auto"/>
          </w:tcPr>
          <w:p w:rsidR="001C696C" w:rsidRPr="003A2E79" w:rsidRDefault="00484D9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84D90">
              <w:rPr>
                <w:sz w:val="18"/>
                <w:szCs w:val="18"/>
              </w:rPr>
              <w:t>Согласно ввод</w:t>
            </w:r>
            <w:r>
              <w:rPr>
                <w:sz w:val="18"/>
                <w:szCs w:val="18"/>
              </w:rPr>
              <w:t>имому правовому регулированию администрация</w:t>
            </w:r>
            <w:r w:rsidRPr="00484D90">
              <w:rPr>
                <w:sz w:val="18"/>
                <w:szCs w:val="18"/>
              </w:rPr>
              <w:t xml:space="preserve"> Кондинского района</w:t>
            </w:r>
            <w:r>
              <w:t xml:space="preserve"> </w:t>
            </w:r>
            <w:r w:rsidRPr="00484D90">
              <w:rPr>
                <w:sz w:val="18"/>
                <w:szCs w:val="18"/>
              </w:rPr>
              <w:t xml:space="preserve">регламентирует процедуру аккумулирования средств заинтересованных лиц, направляемых на выполнение минимального, дополнительного перечня работ по благоустройству дворовых территорий муниципального образования Кондинский район, механизм </w:t>
            </w:r>
            <w:proofErr w:type="gramStart"/>
            <w:r w:rsidRPr="00484D90">
              <w:rPr>
                <w:sz w:val="18"/>
                <w:szCs w:val="18"/>
              </w:rPr>
              <w:t>контроля за</w:t>
            </w:r>
            <w:proofErr w:type="gramEnd"/>
            <w:r w:rsidRPr="00484D90">
              <w:rPr>
                <w:sz w:val="18"/>
                <w:szCs w:val="18"/>
              </w:rPr>
              <w:t xml:space="preserve"> их расходованием, а также устанавливает порядок и формы трудового и (или) финансового участия граждан в выполнении указанных работ.</w:t>
            </w:r>
          </w:p>
        </w:tc>
        <w:tc>
          <w:tcPr>
            <w:tcW w:w="1667" w:type="pct"/>
            <w:shd w:val="clear" w:color="auto" w:fill="auto"/>
          </w:tcPr>
          <w:p w:rsidR="00CB62C4" w:rsidRDefault="00484D90" w:rsidP="000C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="00CB62C4" w:rsidRPr="00CB62C4">
              <w:rPr>
                <w:sz w:val="18"/>
                <w:szCs w:val="18"/>
              </w:rPr>
              <w:t>Контроль за</w:t>
            </w:r>
            <w:proofErr w:type="gramEnd"/>
            <w:r w:rsidR="00CB62C4" w:rsidRPr="00CB62C4">
              <w:rPr>
                <w:sz w:val="18"/>
                <w:szCs w:val="18"/>
              </w:rPr>
              <w:t xml:space="preserve"> целевым расходованием аккумулированных денежных средств заи</w:t>
            </w:r>
            <w:r w:rsidR="00CB62C4">
              <w:rPr>
                <w:sz w:val="18"/>
                <w:szCs w:val="18"/>
              </w:rPr>
              <w:t>нтересованных лиц осуществляет</w:t>
            </w:r>
            <w:r w:rsidR="00CB62C4" w:rsidRPr="00CB62C4">
              <w:rPr>
                <w:sz w:val="18"/>
                <w:szCs w:val="18"/>
              </w:rPr>
              <w:t xml:space="preserve"> Администрация Кондинского района, </w:t>
            </w:r>
            <w:r w:rsidR="00CB62C4">
              <w:rPr>
                <w:sz w:val="18"/>
                <w:szCs w:val="18"/>
              </w:rPr>
              <w:t xml:space="preserve"> </w:t>
            </w:r>
            <w:r w:rsidR="00CB62C4" w:rsidRPr="00CB62C4">
              <w:rPr>
                <w:sz w:val="18"/>
                <w:szCs w:val="18"/>
              </w:rPr>
              <w:t xml:space="preserve"> в соответствии с бюджетным законодательством.</w:t>
            </w:r>
            <w:r w:rsidR="000C6BD6" w:rsidRPr="000C6BD6">
              <w:rPr>
                <w:sz w:val="18"/>
                <w:szCs w:val="18"/>
              </w:rPr>
              <w:t xml:space="preserve"> </w:t>
            </w:r>
          </w:p>
          <w:p w:rsidR="000C6BD6" w:rsidRPr="000C6BD6" w:rsidRDefault="000C6BD6" w:rsidP="000C6BD6">
            <w:pPr>
              <w:rPr>
                <w:sz w:val="18"/>
                <w:szCs w:val="18"/>
              </w:rPr>
            </w:pPr>
            <w:r w:rsidRPr="000C6BD6">
              <w:rPr>
                <w:sz w:val="18"/>
                <w:szCs w:val="18"/>
              </w:rPr>
              <w:t>Информацию о поступивших (поступающих) денежных средствах муниципальное учреждение размещает (обновляет) на сайте органов местного самоуправления в информационно-телекоммуникационной сети «Интернет» в течение каждой рабочей недели в разрезе улицы и номера дома муниципального образования.</w:t>
            </w:r>
          </w:p>
          <w:p w:rsidR="000C6BD6" w:rsidRPr="000C6BD6" w:rsidRDefault="000C6BD6" w:rsidP="000C6BD6">
            <w:pPr>
              <w:rPr>
                <w:sz w:val="18"/>
                <w:szCs w:val="18"/>
              </w:rPr>
            </w:pPr>
            <w:r w:rsidRPr="000C6BD6">
              <w:rPr>
                <w:sz w:val="18"/>
                <w:szCs w:val="18"/>
              </w:rPr>
              <w:t xml:space="preserve">Информация размещается в подразделе «Формирование комфортной городской </w:t>
            </w:r>
            <w:proofErr w:type="gramStart"/>
            <w:r w:rsidRPr="000C6BD6">
              <w:rPr>
                <w:sz w:val="18"/>
                <w:szCs w:val="18"/>
              </w:rPr>
              <w:t>среды</w:t>
            </w:r>
            <w:proofErr w:type="gramEnd"/>
            <w:r w:rsidRPr="000C6BD6">
              <w:rPr>
                <w:sz w:val="18"/>
                <w:szCs w:val="18"/>
              </w:rPr>
              <w:t>/Поступившие денежные средства» раздела «Информация для граждан» главной страницы.</w:t>
            </w:r>
          </w:p>
          <w:p w:rsidR="000C6BD6" w:rsidRPr="000C6BD6" w:rsidRDefault="000C6BD6" w:rsidP="000C6BD6">
            <w:pPr>
              <w:rPr>
                <w:sz w:val="18"/>
                <w:szCs w:val="18"/>
              </w:rPr>
            </w:pPr>
            <w:r w:rsidRPr="000C6BD6">
              <w:rPr>
                <w:sz w:val="18"/>
                <w:szCs w:val="18"/>
              </w:rPr>
              <w:t>Муниципальное учреждение обеспечивает ежемесячное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уполномоченного органа.</w:t>
            </w:r>
          </w:p>
          <w:p w:rsidR="000C6BD6" w:rsidRPr="000C6BD6" w:rsidRDefault="000C6BD6" w:rsidP="000C6BD6">
            <w:pPr>
              <w:rPr>
                <w:sz w:val="18"/>
                <w:szCs w:val="18"/>
              </w:rPr>
            </w:pPr>
            <w:r w:rsidRPr="000C6BD6">
              <w:rPr>
                <w:sz w:val="18"/>
                <w:szCs w:val="18"/>
              </w:rPr>
              <w:t>Муниципальное учреждение обеспечивает расходование аккумулированных денежных средств заинтересованных лиц, которое осуществляется в соответствии с условиями контрактов, соглашений, заключенных в соответствии с законодательством Российской Федерации.</w:t>
            </w:r>
          </w:p>
          <w:p w:rsidR="001C696C" w:rsidRDefault="000C6BD6" w:rsidP="000C6BD6">
            <w:pPr>
              <w:rPr>
                <w:sz w:val="18"/>
                <w:szCs w:val="18"/>
              </w:rPr>
            </w:pPr>
            <w:proofErr w:type="gramStart"/>
            <w:r w:rsidRPr="000C6BD6">
              <w:rPr>
                <w:sz w:val="18"/>
                <w:szCs w:val="18"/>
              </w:rPr>
              <w:t xml:space="preserve">Муниципальное учреждение осуществляет перечисление средств заинтересованных лиц на расчетный счет подрядчика (исполнителя) работ по благоустройству дворовой территории, открытый в учреждениях </w:t>
            </w:r>
            <w:r w:rsidRPr="000C6BD6">
              <w:rPr>
                <w:sz w:val="18"/>
                <w:szCs w:val="18"/>
              </w:rPr>
              <w:lastRenderedPageBreak/>
              <w:t>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      </w:r>
            <w:proofErr w:type="gramEnd"/>
          </w:p>
          <w:p w:rsidR="00CB62C4" w:rsidRPr="003A2E79" w:rsidRDefault="00CB62C4" w:rsidP="00CB62C4">
            <w:pPr>
              <w:rPr>
                <w:sz w:val="18"/>
                <w:szCs w:val="18"/>
              </w:rPr>
            </w:pPr>
            <w:r w:rsidRPr="00CB62C4">
              <w:rPr>
                <w:sz w:val="18"/>
                <w:szCs w:val="18"/>
              </w:rPr>
              <w:t>Муниципальное учреждение обеспечивает возврат аккумулированных денежных средств заинтересованным лицам в срок до 31 декабря текущего года при условии: экономии денежных средств, по итогам проведения конкурсных процедур, неисполнения работ по благоустройству дворовой территории многоквартирного дома по вине подрядной организации, не предоставления заинтересованными лицами доступа к проведению благоус</w:t>
            </w:r>
            <w:r>
              <w:rPr>
                <w:sz w:val="18"/>
                <w:szCs w:val="18"/>
              </w:rPr>
              <w:t xml:space="preserve">тройства на дворовой </w:t>
            </w:r>
            <w:proofErr w:type="spellStart"/>
            <w:r>
              <w:rPr>
                <w:sz w:val="18"/>
                <w:szCs w:val="18"/>
              </w:rPr>
              <w:t>территории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 w:rsidRPr="00CB62C4">
              <w:rPr>
                <w:sz w:val="18"/>
                <w:szCs w:val="18"/>
              </w:rPr>
              <w:t>озникновения</w:t>
            </w:r>
            <w:proofErr w:type="spellEnd"/>
            <w:r w:rsidRPr="00CB62C4">
              <w:rPr>
                <w:sz w:val="18"/>
                <w:szCs w:val="18"/>
              </w:rPr>
              <w:t xml:space="preserve"> обстоятельств непреодолимой силы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66" w:type="pct"/>
            <w:shd w:val="clear" w:color="auto" w:fill="auto"/>
          </w:tcPr>
          <w:p w:rsidR="001C696C" w:rsidRPr="003A2E79" w:rsidRDefault="00C31D8C" w:rsidP="00955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2564D1">
              <w:rPr>
                <w:sz w:val="18"/>
                <w:szCs w:val="18"/>
              </w:rPr>
              <w:t xml:space="preserve"> </w:t>
            </w:r>
            <w:r w:rsidR="00955AF9">
              <w:rPr>
                <w:sz w:val="18"/>
                <w:szCs w:val="18"/>
              </w:rPr>
              <w:t xml:space="preserve"> Трудозатраты не изменятся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9. Оценка соответствующих расходов (возможных поступлений) бюджета Кондинского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2456"/>
        <w:gridCol w:w="810"/>
        <w:gridCol w:w="2567"/>
        <w:gridCol w:w="2929"/>
      </w:tblGrid>
      <w:tr w:rsidR="001C696C" w:rsidRPr="003A2E79" w:rsidTr="00770128">
        <w:tc>
          <w:tcPr>
            <w:tcW w:w="1706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9.2. Описание видов расходов (возможных поступлений) бюджета Кондинского района 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9.3. Количественная оценка расходов (возможных поступлений)</w:t>
            </w:r>
            <w:r w:rsidRPr="003A2E79">
              <w:rPr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1C696C" w:rsidRPr="003A2E79" w:rsidTr="00770128"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  <w:lang w:val="en-US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1C696C" w:rsidRPr="007507AD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органа</w:t>
            </w:r>
            <w:r w:rsidRPr="007507AD">
              <w:rPr>
                <w:sz w:val="18"/>
                <w:szCs w:val="18"/>
              </w:rPr>
              <w:t>:</w:t>
            </w:r>
            <w:r w:rsidR="007507AD">
              <w:t xml:space="preserve"> </w:t>
            </w:r>
            <w:r w:rsidR="00727876" w:rsidRPr="007E0D2B">
              <w:rPr>
                <w:rFonts w:eastAsia="Calibri"/>
                <w:i/>
                <w:sz w:val="18"/>
                <w:szCs w:val="18"/>
                <w:lang w:eastAsia="en-US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1C696C" w:rsidRPr="003A2E79" w:rsidTr="00770128">
        <w:tc>
          <w:tcPr>
            <w:tcW w:w="423" w:type="pct"/>
            <w:vMerge w:val="restar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1C696C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новой или изменяемой функции, полномочия, обязанности или права</w:t>
            </w:r>
          </w:p>
          <w:p w:rsidR="00727876" w:rsidRDefault="00727876" w:rsidP="00770128">
            <w:pPr>
              <w:rPr>
                <w:sz w:val="18"/>
                <w:szCs w:val="18"/>
              </w:rPr>
            </w:pPr>
          </w:p>
          <w:p w:rsidR="00727876" w:rsidRPr="003A2E79" w:rsidRDefault="00C6550B" w:rsidP="00C6550B">
            <w:pPr>
              <w:rPr>
                <w:sz w:val="18"/>
                <w:szCs w:val="18"/>
              </w:rPr>
            </w:pPr>
            <w:r w:rsidRPr="00C6550B">
              <w:rPr>
                <w:sz w:val="18"/>
                <w:szCs w:val="18"/>
              </w:rPr>
              <w:t xml:space="preserve">Согласно вводимому правовому регулированию администрация Кондинского района регламентирует процедуру аккумулирования средств заинтересованных лиц, направляемых на выполнение минимального, дополнительного перечня работ по благоустройству дворовых территорий муниципального образования Кондинский район, механизм </w:t>
            </w:r>
            <w:proofErr w:type="gramStart"/>
            <w:r w:rsidRPr="00C6550B">
              <w:rPr>
                <w:sz w:val="18"/>
                <w:szCs w:val="18"/>
              </w:rPr>
              <w:t>контроля за</w:t>
            </w:r>
            <w:proofErr w:type="gramEnd"/>
            <w:r w:rsidRPr="00C6550B">
              <w:rPr>
                <w:sz w:val="18"/>
                <w:szCs w:val="18"/>
              </w:rPr>
              <w:t xml:space="preserve"> их расходованием, а также устанавливает порядок и формы трудового и (или) финансового участия граждан в выполнении указанных работ.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9.4.2.</w:t>
            </w:r>
          </w:p>
        </w:tc>
        <w:tc>
          <w:tcPr>
            <w:tcW w:w="1341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единовременные расходы за период</w:t>
            </w:r>
            <w:r w:rsidR="000B7EF2">
              <w:rPr>
                <w:sz w:val="18"/>
                <w:szCs w:val="18"/>
              </w:rPr>
              <w:t xml:space="preserve"> 2018-2022 годы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2018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</w:t>
            </w:r>
            <w:r w:rsidR="00093F65" w:rsidRPr="000B7EF2">
              <w:rPr>
                <w:sz w:val="18"/>
                <w:szCs w:val="18"/>
              </w:rPr>
              <w:t>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2019</w:t>
            </w:r>
            <w:r w:rsidR="001C696C" w:rsidRPr="003A2E79">
              <w:rPr>
                <w:sz w:val="18"/>
                <w:szCs w:val="18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2020</w:t>
            </w:r>
            <w:r w:rsidR="001C696C" w:rsidRPr="003A2E79">
              <w:rPr>
                <w:sz w:val="18"/>
                <w:szCs w:val="18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2021</w:t>
            </w:r>
            <w:r w:rsidR="001C696C" w:rsidRPr="003A2E79">
              <w:rPr>
                <w:sz w:val="18"/>
                <w:szCs w:val="18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2022</w:t>
            </w:r>
            <w:r w:rsidR="001C696C" w:rsidRPr="003A2E79">
              <w:rPr>
                <w:sz w:val="18"/>
                <w:szCs w:val="18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093F65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:rsidR="001C696C" w:rsidRPr="003A2E79" w:rsidRDefault="001C696C" w:rsidP="000B7EF2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периодичес</w:t>
            </w:r>
            <w:r w:rsidR="000B7EF2">
              <w:rPr>
                <w:sz w:val="18"/>
                <w:szCs w:val="18"/>
              </w:rPr>
              <w:t>кие расходы за период 2018-2022 годы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1C696C" w:rsidP="00093F65">
            <w:pPr>
              <w:rPr>
                <w:sz w:val="18"/>
                <w:szCs w:val="18"/>
              </w:rPr>
            </w:pP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2018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 xml:space="preserve">Отсутствуют 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2019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2020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2021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7333A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2022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9.4.4.</w:t>
            </w:r>
          </w:p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1C696C" w:rsidP="000B7EF2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Всего возможные </w:t>
            </w:r>
            <w:r w:rsidR="000B7EF2">
              <w:rPr>
                <w:sz w:val="18"/>
                <w:szCs w:val="18"/>
              </w:rPr>
              <w:t xml:space="preserve">поступления за период </w:t>
            </w:r>
            <w:r w:rsidR="000B7EF2" w:rsidRPr="000B7EF2">
              <w:rPr>
                <w:sz w:val="18"/>
                <w:szCs w:val="18"/>
              </w:rPr>
              <w:t>2018-2022 годы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093F65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2018 </w:t>
            </w:r>
            <w:r w:rsidR="001C696C" w:rsidRPr="003A2E79">
              <w:rPr>
                <w:sz w:val="18"/>
                <w:szCs w:val="18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093F65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2019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093F65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2020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093F65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2021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1C696C" w:rsidRPr="003A2E79" w:rsidRDefault="00093F65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2022</w:t>
            </w:r>
            <w:r w:rsidR="001C696C"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295616" w:rsidP="00770128">
            <w:pPr>
              <w:rPr>
                <w:sz w:val="18"/>
                <w:szCs w:val="18"/>
              </w:rPr>
            </w:pPr>
            <w:r w:rsidRPr="00295616">
              <w:rPr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6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1C696C" w:rsidRPr="003A2E79" w:rsidRDefault="001C696C" w:rsidP="000B7EF2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Итого единовременные расходы за период </w:t>
            </w:r>
            <w:r w:rsidR="000B7EF2">
              <w:rPr>
                <w:sz w:val="18"/>
                <w:szCs w:val="18"/>
              </w:rPr>
              <w:t xml:space="preserve"> </w:t>
            </w:r>
            <w:r w:rsidR="000B7EF2" w:rsidRPr="000B7EF2">
              <w:rPr>
                <w:sz w:val="18"/>
                <w:szCs w:val="18"/>
              </w:rPr>
              <w:t>2018-2022 годы: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0B7EF2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0B7EF2" w:rsidRPr="003A2E79" w:rsidTr="00770128">
        <w:tc>
          <w:tcPr>
            <w:tcW w:w="423" w:type="pct"/>
            <w:shd w:val="clear" w:color="auto" w:fill="auto"/>
          </w:tcPr>
          <w:p w:rsidR="000B7EF2" w:rsidRPr="003A2E79" w:rsidRDefault="000B7EF2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7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0B7EF2" w:rsidRPr="003A2E79" w:rsidRDefault="000B7EF2" w:rsidP="000B7EF2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Итого периодические расходы за период</w:t>
            </w:r>
            <w:r>
              <w:rPr>
                <w:sz w:val="18"/>
                <w:szCs w:val="18"/>
              </w:rPr>
              <w:t xml:space="preserve"> </w:t>
            </w:r>
            <w:r w:rsidRPr="000B7EF2">
              <w:rPr>
                <w:sz w:val="18"/>
                <w:szCs w:val="18"/>
              </w:rPr>
              <w:t>2018-2022 годы:</w:t>
            </w:r>
          </w:p>
        </w:tc>
        <w:tc>
          <w:tcPr>
            <w:tcW w:w="1530" w:type="pct"/>
            <w:shd w:val="clear" w:color="auto" w:fill="auto"/>
          </w:tcPr>
          <w:p w:rsidR="000B7EF2" w:rsidRDefault="000B7EF2">
            <w:r w:rsidRPr="00D104E2">
              <w:rPr>
                <w:sz w:val="18"/>
                <w:szCs w:val="18"/>
              </w:rPr>
              <w:t>Отсутствует</w:t>
            </w:r>
          </w:p>
        </w:tc>
      </w:tr>
      <w:tr w:rsidR="000B7EF2" w:rsidRPr="003A2E79" w:rsidTr="00770128">
        <w:tc>
          <w:tcPr>
            <w:tcW w:w="423" w:type="pct"/>
            <w:shd w:val="clear" w:color="auto" w:fill="auto"/>
          </w:tcPr>
          <w:p w:rsidR="000B7EF2" w:rsidRPr="003A2E79" w:rsidRDefault="000B7EF2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8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0B7EF2" w:rsidRPr="003A2E79" w:rsidRDefault="000B7EF2" w:rsidP="000B7EF2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Итого возможные поступления за период</w:t>
            </w:r>
            <w:r>
              <w:rPr>
                <w:sz w:val="18"/>
                <w:szCs w:val="18"/>
              </w:rPr>
              <w:t xml:space="preserve"> </w:t>
            </w:r>
            <w:r w:rsidRPr="000B7EF2">
              <w:rPr>
                <w:sz w:val="18"/>
                <w:szCs w:val="18"/>
              </w:rPr>
              <w:t>2018-2022 годы:</w:t>
            </w:r>
          </w:p>
        </w:tc>
        <w:tc>
          <w:tcPr>
            <w:tcW w:w="1530" w:type="pct"/>
            <w:shd w:val="clear" w:color="auto" w:fill="auto"/>
          </w:tcPr>
          <w:p w:rsidR="000B7EF2" w:rsidRDefault="000B7EF2">
            <w:r w:rsidRPr="00D104E2">
              <w:rPr>
                <w:sz w:val="18"/>
                <w:szCs w:val="18"/>
              </w:rPr>
              <w:t>Отсутствует</w:t>
            </w:r>
          </w:p>
        </w:tc>
      </w:tr>
      <w:tr w:rsidR="001C696C" w:rsidRPr="003A2E79" w:rsidTr="00770128"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9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Иные сведения о расходах (возможных поступлениях) бюджета Кондинского района:</w:t>
            </w:r>
          </w:p>
          <w:p w:rsidR="001C696C" w:rsidRPr="003A2E79" w:rsidRDefault="001C696C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>(место для текстового описания)</w:t>
            </w:r>
          </w:p>
        </w:tc>
      </w:tr>
      <w:tr w:rsidR="001C696C" w:rsidRPr="003A2E79" w:rsidTr="00770128"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10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  <w:r w:rsidR="000B7EF2">
              <w:rPr>
                <w:sz w:val="18"/>
                <w:szCs w:val="18"/>
              </w:rPr>
              <w:t xml:space="preserve"> Отсутствует</w:t>
            </w:r>
          </w:p>
          <w:p w:rsidR="001C696C" w:rsidRPr="003A2E79" w:rsidRDefault="001C696C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>(место для текстового описания)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lastRenderedPageBreak/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3A2E79">
        <w:rPr>
          <w:sz w:val="18"/>
          <w:szCs w:val="18"/>
          <w:vertAlign w:val="superscript"/>
        </w:rPr>
        <w:footnoteReference w:id="6"/>
      </w:r>
      <w:r w:rsidRPr="003A2E79">
        <w:rPr>
          <w:sz w:val="18"/>
          <w:szCs w:val="1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2567"/>
        <w:gridCol w:w="2253"/>
        <w:gridCol w:w="2092"/>
      </w:tblGrid>
      <w:tr w:rsidR="001C696C" w:rsidRPr="003A2E79" w:rsidTr="00770128">
        <w:tc>
          <w:tcPr>
            <w:tcW w:w="1389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10.4. Описание и оценка видов расходов (доходов)</w:t>
            </w:r>
          </w:p>
        </w:tc>
      </w:tr>
      <w:tr w:rsidR="001C696C" w:rsidRPr="003A2E79" w:rsidTr="00770128">
        <w:trPr>
          <w:trHeight w:val="192"/>
        </w:trPr>
        <w:tc>
          <w:tcPr>
            <w:tcW w:w="1389" w:type="pct"/>
            <w:shd w:val="clear" w:color="auto" w:fill="auto"/>
          </w:tcPr>
          <w:p w:rsidR="001C696C" w:rsidRPr="000B7EF2" w:rsidRDefault="000B7EF2" w:rsidP="00674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7409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84D89" w:rsidRPr="00F84D89">
              <w:rPr>
                <w:rFonts w:eastAsia="Calibri"/>
                <w:sz w:val="18"/>
                <w:szCs w:val="18"/>
                <w:lang w:eastAsia="en-US"/>
              </w:rPr>
              <w:t>заинтересованные лица: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благоустройству.</w:t>
            </w:r>
          </w:p>
        </w:tc>
        <w:tc>
          <w:tcPr>
            <w:tcW w:w="1341" w:type="pct"/>
            <w:shd w:val="clear" w:color="auto" w:fill="auto"/>
          </w:tcPr>
          <w:p w:rsidR="001C696C" w:rsidRPr="003A2E79" w:rsidRDefault="00E73985" w:rsidP="00770128">
            <w:pPr>
              <w:rPr>
                <w:sz w:val="18"/>
                <w:szCs w:val="18"/>
              </w:rPr>
            </w:pPr>
            <w:r w:rsidRPr="00E73985">
              <w:rPr>
                <w:sz w:val="18"/>
                <w:szCs w:val="18"/>
              </w:rPr>
              <w:t>Проект не возлагает на потенциальных адресатов обязанностей, запретов и ограничений предполагаемым правовым регулированием</w:t>
            </w:r>
          </w:p>
        </w:tc>
        <w:tc>
          <w:tcPr>
            <w:tcW w:w="1177" w:type="pct"/>
            <w:shd w:val="clear" w:color="auto" w:fill="auto"/>
          </w:tcPr>
          <w:p w:rsidR="00F84D89" w:rsidRPr="00686BC2" w:rsidRDefault="00EA790D" w:rsidP="00B44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E46D8">
              <w:rPr>
                <w:sz w:val="18"/>
                <w:szCs w:val="18"/>
              </w:rPr>
              <w:t xml:space="preserve"> </w:t>
            </w:r>
            <w:r w:rsidR="00674093">
              <w:rPr>
                <w:sz w:val="18"/>
                <w:szCs w:val="18"/>
              </w:rPr>
              <w:t xml:space="preserve"> </w:t>
            </w:r>
            <w:r w:rsidR="00B44E73">
              <w:rPr>
                <w:sz w:val="18"/>
                <w:szCs w:val="18"/>
              </w:rPr>
              <w:t xml:space="preserve"> </w:t>
            </w:r>
            <w:r w:rsidR="00F84D89" w:rsidRPr="00F84D89">
              <w:rPr>
                <w:sz w:val="18"/>
                <w:szCs w:val="18"/>
              </w:rPr>
              <w:t xml:space="preserve"> </w:t>
            </w:r>
            <w:r w:rsidR="00B44E73">
              <w:rPr>
                <w:sz w:val="18"/>
                <w:szCs w:val="18"/>
              </w:rPr>
              <w:t xml:space="preserve"> </w:t>
            </w:r>
            <w:r w:rsidR="00B44E73" w:rsidRPr="00B44E73">
              <w:rPr>
                <w:sz w:val="18"/>
                <w:szCs w:val="18"/>
              </w:rPr>
              <w:t>Отсутствуют</w:t>
            </w:r>
          </w:p>
        </w:tc>
        <w:tc>
          <w:tcPr>
            <w:tcW w:w="1093" w:type="pct"/>
          </w:tcPr>
          <w:p w:rsidR="003954E5" w:rsidRDefault="003954E5" w:rsidP="003954E5">
            <w:pPr>
              <w:ind w:firstLine="34"/>
              <w:rPr>
                <w:sz w:val="18"/>
                <w:szCs w:val="18"/>
              </w:rPr>
            </w:pPr>
            <w:r w:rsidRPr="003954E5">
              <w:rPr>
                <w:sz w:val="18"/>
                <w:szCs w:val="18"/>
              </w:rPr>
              <w:t>Расходы потенциальных адресатов могут быть в случае финансового участия в реализации мероприятий по благоустройству дворовой территории, минимальная доля которого составит 2% от сметной стоимости по минимальному перечню работ по благоустройству.  Размер финансового участия определяется после утверждения локально-сметного расчета.</w:t>
            </w:r>
          </w:p>
          <w:p w:rsidR="003954E5" w:rsidRPr="003954E5" w:rsidRDefault="003954E5" w:rsidP="003954E5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954E5">
              <w:rPr>
                <w:sz w:val="18"/>
                <w:szCs w:val="18"/>
              </w:rPr>
              <w:t>оход потенциальных адресатов может быть в случае заключения договоров (муниципальных контрактов) на выполнение работ по благоустройству дворовых и общественных территорий.</w:t>
            </w:r>
          </w:p>
          <w:p w:rsidR="001C696C" w:rsidRPr="00686BC2" w:rsidRDefault="00674093" w:rsidP="00B44E73">
            <w:pPr>
              <w:rPr>
                <w:sz w:val="18"/>
                <w:szCs w:val="18"/>
              </w:rPr>
            </w:pPr>
            <w:r w:rsidRPr="00674093">
              <w:rPr>
                <w:sz w:val="18"/>
                <w:szCs w:val="18"/>
              </w:rPr>
              <w:t xml:space="preserve"> </w:t>
            </w:r>
            <w:r w:rsidR="00B44E73">
              <w:rPr>
                <w:sz w:val="18"/>
                <w:szCs w:val="18"/>
              </w:rPr>
              <w:t xml:space="preserve"> 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11.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3A2E79">
        <w:rPr>
          <w:sz w:val="18"/>
          <w:szCs w:val="1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1667"/>
        <w:gridCol w:w="2165"/>
        <w:gridCol w:w="2603"/>
        <w:gridCol w:w="2387"/>
      </w:tblGrid>
      <w:tr w:rsidR="001C696C" w:rsidRPr="003A2E79" w:rsidTr="00770128">
        <w:tc>
          <w:tcPr>
            <w:tcW w:w="1262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1</w:t>
            </w:r>
            <w:r w:rsidRPr="003A2E79">
              <w:rPr>
                <w:sz w:val="18"/>
                <w:szCs w:val="18"/>
                <w:lang w:val="en-US"/>
              </w:rPr>
              <w:t>.2.</w:t>
            </w:r>
            <w:r w:rsidRPr="003A2E79">
              <w:rPr>
                <w:sz w:val="18"/>
                <w:szCs w:val="18"/>
              </w:rPr>
              <w:t> 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Оценк</w:t>
            </w:r>
            <w:proofErr w:type="spellEnd"/>
            <w:r w:rsidRPr="003A2E79">
              <w:rPr>
                <w:sz w:val="18"/>
                <w:szCs w:val="18"/>
              </w:rPr>
              <w:t>а</w:t>
            </w:r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вероятности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наступления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рисков</w:t>
            </w:r>
            <w:proofErr w:type="spellEnd"/>
          </w:p>
        </w:tc>
        <w:tc>
          <w:tcPr>
            <w:tcW w:w="1360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11.3. Методы </w:t>
            </w:r>
            <w:proofErr w:type="gramStart"/>
            <w:r w:rsidRPr="003A2E79">
              <w:rPr>
                <w:sz w:val="18"/>
                <w:szCs w:val="1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7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11.4. Степень контроля рисков</w:t>
            </w:r>
          </w:p>
          <w:p w:rsidR="001C696C" w:rsidRPr="003A2E79" w:rsidRDefault="001C696C" w:rsidP="00770128">
            <w:pPr>
              <w:jc w:val="right"/>
              <w:rPr>
                <w:sz w:val="18"/>
                <w:szCs w:val="18"/>
              </w:rPr>
            </w:pPr>
          </w:p>
        </w:tc>
      </w:tr>
      <w:tr w:rsidR="001C696C" w:rsidRPr="003A2E79" w:rsidTr="00770128">
        <w:tc>
          <w:tcPr>
            <w:tcW w:w="1262" w:type="pct"/>
            <w:gridSpan w:val="2"/>
            <w:shd w:val="clear" w:color="auto" w:fill="auto"/>
          </w:tcPr>
          <w:p w:rsidR="001C696C" w:rsidRPr="003A2E79" w:rsidRDefault="008A0825" w:rsidP="00770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545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31" w:type="pct"/>
            <w:shd w:val="clear" w:color="auto" w:fill="auto"/>
          </w:tcPr>
          <w:p w:rsidR="001C696C" w:rsidRPr="003A2E79" w:rsidRDefault="008A0825" w:rsidP="00770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Отсутствуют </w:t>
            </w:r>
          </w:p>
        </w:tc>
        <w:tc>
          <w:tcPr>
            <w:tcW w:w="1360" w:type="pct"/>
            <w:shd w:val="clear" w:color="auto" w:fill="auto"/>
          </w:tcPr>
          <w:p w:rsidR="001C696C" w:rsidRPr="003A2E79" w:rsidRDefault="008A0825" w:rsidP="00770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  <w:r w:rsidR="005817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pct"/>
            <w:shd w:val="clear" w:color="auto" w:fill="auto"/>
          </w:tcPr>
          <w:p w:rsidR="001C696C" w:rsidRPr="003A2E79" w:rsidRDefault="008A0825" w:rsidP="00770128">
            <w:pPr>
              <w:jc w:val="center"/>
              <w:rPr>
                <w:sz w:val="18"/>
                <w:szCs w:val="18"/>
              </w:rPr>
            </w:pPr>
            <w:r w:rsidRPr="008A0825">
              <w:rPr>
                <w:sz w:val="18"/>
                <w:szCs w:val="18"/>
              </w:rPr>
              <w:t>Отсутствуют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C696C" w:rsidRPr="003A2E79" w:rsidTr="00770128">
        <w:tc>
          <w:tcPr>
            <w:tcW w:w="391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1C696C" w:rsidRPr="003A2E79" w:rsidRDefault="00C5454E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</w:tbl>
    <w:p w:rsidR="001C696C" w:rsidRPr="00D307C5" w:rsidRDefault="001C696C" w:rsidP="001C696C">
      <w:pPr>
        <w:spacing w:before="240"/>
        <w:jc w:val="center"/>
        <w:rPr>
          <w:sz w:val="18"/>
          <w:szCs w:val="18"/>
        </w:rPr>
      </w:pPr>
      <w:r w:rsidRPr="00D307C5">
        <w:rPr>
          <w:sz w:val="18"/>
          <w:szCs w:val="1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1554"/>
        <w:gridCol w:w="2203"/>
        <w:gridCol w:w="1570"/>
        <w:gridCol w:w="1047"/>
        <w:gridCol w:w="2397"/>
      </w:tblGrid>
      <w:tr w:rsidR="001C696C" w:rsidRPr="003A2E79" w:rsidTr="00770128">
        <w:trPr>
          <w:trHeight w:val="787"/>
        </w:trPr>
        <w:tc>
          <w:tcPr>
            <w:tcW w:w="1230" w:type="pct"/>
            <w:gridSpan w:val="2"/>
            <w:shd w:val="clear" w:color="auto" w:fill="auto"/>
          </w:tcPr>
          <w:p w:rsidR="001C696C" w:rsidRPr="00D307C5" w:rsidRDefault="001C696C" w:rsidP="00770128">
            <w:pPr>
              <w:jc w:val="center"/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>12.1.</w:t>
            </w:r>
          </w:p>
          <w:p w:rsidR="001C696C" w:rsidRPr="00D307C5" w:rsidRDefault="001C696C" w:rsidP="00770128">
            <w:pPr>
              <w:jc w:val="center"/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 xml:space="preserve">Цели </w:t>
            </w:r>
            <w:proofErr w:type="gramStart"/>
            <w:r w:rsidRPr="00D307C5">
              <w:rPr>
                <w:sz w:val="18"/>
                <w:szCs w:val="18"/>
              </w:rPr>
              <w:t>предлагаемого</w:t>
            </w:r>
            <w:proofErr w:type="gramEnd"/>
            <w:r w:rsidRPr="00D307C5">
              <w:rPr>
                <w:sz w:val="18"/>
                <w:szCs w:val="18"/>
              </w:rPr>
              <w:t xml:space="preserve"> </w:t>
            </w:r>
          </w:p>
          <w:p w:rsidR="001C696C" w:rsidRPr="00D307C5" w:rsidRDefault="001C696C" w:rsidP="00770128">
            <w:pPr>
              <w:jc w:val="center"/>
              <w:rPr>
                <w:sz w:val="8"/>
                <w:szCs w:val="18"/>
              </w:rPr>
            </w:pPr>
          </w:p>
          <w:p w:rsidR="001C696C" w:rsidRPr="00D307C5" w:rsidRDefault="001C696C" w:rsidP="00770128">
            <w:pPr>
              <w:jc w:val="center"/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>регулирования</w:t>
            </w:r>
            <w:r w:rsidRPr="00D307C5">
              <w:rPr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151" w:type="pct"/>
            <w:shd w:val="clear" w:color="auto" w:fill="auto"/>
          </w:tcPr>
          <w:p w:rsidR="001C696C" w:rsidRPr="00D307C5" w:rsidRDefault="001C696C" w:rsidP="00770128">
            <w:pPr>
              <w:jc w:val="center"/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>12.2.</w:t>
            </w:r>
          </w:p>
          <w:p w:rsidR="001C696C" w:rsidRPr="00D307C5" w:rsidRDefault="001C696C" w:rsidP="00770128">
            <w:pPr>
              <w:jc w:val="center"/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>Индикативные показатели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1C696C" w:rsidRPr="00D307C5" w:rsidRDefault="001C696C" w:rsidP="00770128">
            <w:pPr>
              <w:jc w:val="center"/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>12.3.</w:t>
            </w:r>
          </w:p>
          <w:p w:rsidR="001C696C" w:rsidRPr="00D307C5" w:rsidRDefault="001C696C" w:rsidP="00770128">
            <w:pPr>
              <w:jc w:val="center"/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:rsidR="001C696C" w:rsidRPr="00D307C5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r w:rsidRPr="00D307C5">
              <w:rPr>
                <w:sz w:val="18"/>
                <w:szCs w:val="18"/>
                <w:lang w:val="en-US"/>
              </w:rPr>
              <w:t>1</w:t>
            </w:r>
            <w:r w:rsidRPr="00D307C5">
              <w:rPr>
                <w:sz w:val="18"/>
                <w:szCs w:val="18"/>
              </w:rPr>
              <w:t>2</w:t>
            </w:r>
            <w:r w:rsidRPr="00D307C5">
              <w:rPr>
                <w:sz w:val="18"/>
                <w:szCs w:val="18"/>
                <w:lang w:val="en-US"/>
              </w:rPr>
              <w:t>.4.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307C5">
              <w:rPr>
                <w:sz w:val="18"/>
                <w:szCs w:val="18"/>
                <w:lang w:val="en-US"/>
              </w:rPr>
              <w:t>Способы</w:t>
            </w:r>
            <w:proofErr w:type="spellEnd"/>
            <w:r w:rsidRPr="00D307C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07C5">
              <w:rPr>
                <w:sz w:val="18"/>
                <w:szCs w:val="18"/>
                <w:lang w:val="en-US"/>
              </w:rPr>
              <w:t>расчета</w:t>
            </w:r>
            <w:proofErr w:type="spellEnd"/>
            <w:r w:rsidRPr="00D307C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07C5">
              <w:rPr>
                <w:sz w:val="18"/>
                <w:szCs w:val="18"/>
                <w:lang w:val="en-US"/>
              </w:rPr>
              <w:t>индикативных</w:t>
            </w:r>
            <w:proofErr w:type="spellEnd"/>
            <w:r w:rsidRPr="00D307C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07C5">
              <w:rPr>
                <w:sz w:val="18"/>
                <w:szCs w:val="18"/>
                <w:lang w:val="en-US"/>
              </w:rPr>
              <w:t>показателей</w:t>
            </w:r>
            <w:proofErr w:type="spellEnd"/>
          </w:p>
        </w:tc>
      </w:tr>
      <w:tr w:rsidR="001C696C" w:rsidRPr="003A2E79" w:rsidTr="00770128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:rsidR="001C696C" w:rsidRPr="003A2E79" w:rsidRDefault="00FD2377" w:rsidP="00EC1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C1958">
              <w:rPr>
                <w:sz w:val="18"/>
                <w:szCs w:val="18"/>
              </w:rPr>
              <w:t xml:space="preserve"> </w:t>
            </w:r>
            <w:r w:rsidR="00A61723" w:rsidRPr="00A61723">
              <w:rPr>
                <w:sz w:val="18"/>
                <w:szCs w:val="18"/>
              </w:rPr>
              <w:t>Создание условий для системного повышения качества и комфорта городской среды на всей территории Кондинского района.</w:t>
            </w:r>
          </w:p>
        </w:tc>
        <w:tc>
          <w:tcPr>
            <w:tcW w:w="1151" w:type="pct"/>
            <w:shd w:val="clear" w:color="auto" w:fill="auto"/>
          </w:tcPr>
          <w:p w:rsidR="001C696C" w:rsidRPr="003A2E79" w:rsidRDefault="00D307C5" w:rsidP="00D30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</w:t>
            </w:r>
            <w:r w:rsidR="00BE5602" w:rsidRPr="00BE5602">
              <w:rPr>
                <w:sz w:val="18"/>
                <w:szCs w:val="18"/>
              </w:rPr>
              <w:t>овышения уровня благо</w:t>
            </w:r>
            <w:r w:rsidR="00BE5602">
              <w:rPr>
                <w:sz w:val="18"/>
                <w:szCs w:val="18"/>
              </w:rPr>
              <w:t xml:space="preserve">устройства дворовых территорий 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1C696C" w:rsidRPr="003A2E79" w:rsidRDefault="00D307C5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дворовых территорий</w:t>
            </w:r>
          </w:p>
        </w:tc>
        <w:tc>
          <w:tcPr>
            <w:tcW w:w="1252" w:type="pct"/>
            <w:shd w:val="clear" w:color="auto" w:fill="auto"/>
          </w:tcPr>
          <w:p w:rsidR="00D307C5" w:rsidRDefault="00D307C5" w:rsidP="00D307C5">
            <w:pPr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>Доля благоустроенных дворовых территорий к общей площади дворовых территорий в Кондинском районе</w:t>
            </w:r>
            <w:proofErr w:type="gramStart"/>
            <w:r w:rsidRPr="00D307C5">
              <w:rPr>
                <w:sz w:val="18"/>
                <w:szCs w:val="18"/>
              </w:rPr>
              <w:t xml:space="preserve">, %», </w:t>
            </w:r>
            <w:proofErr w:type="gramEnd"/>
            <w:r w:rsidRPr="00D307C5">
              <w:rPr>
                <w:sz w:val="18"/>
                <w:szCs w:val="18"/>
              </w:rPr>
              <w:t>рассчитывается по формуле:</w:t>
            </w:r>
          </w:p>
          <w:p w:rsidR="00D307C5" w:rsidRPr="00D307C5" w:rsidRDefault="00D307C5" w:rsidP="00D307C5">
            <w:pPr>
              <w:rPr>
                <w:sz w:val="18"/>
                <w:szCs w:val="18"/>
              </w:rPr>
            </w:pPr>
          </w:p>
          <w:p w:rsidR="00D307C5" w:rsidRDefault="00D307C5" w:rsidP="00D307C5">
            <w:pPr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>K=T/L*100%, где:</w:t>
            </w:r>
          </w:p>
          <w:p w:rsidR="00D307C5" w:rsidRPr="00D307C5" w:rsidRDefault="00D307C5" w:rsidP="00D307C5">
            <w:pPr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lastRenderedPageBreak/>
              <w:t>K - доля благоустроенных дворовых территорий Кондинского района</w:t>
            </w:r>
            <w:proofErr w:type="gramStart"/>
            <w:r w:rsidRPr="00D307C5">
              <w:rPr>
                <w:sz w:val="18"/>
                <w:szCs w:val="18"/>
              </w:rPr>
              <w:t>, %;</w:t>
            </w:r>
            <w:proofErr w:type="gramEnd"/>
          </w:p>
          <w:p w:rsidR="00D307C5" w:rsidRPr="00D307C5" w:rsidRDefault="00D307C5" w:rsidP="00D307C5">
            <w:pPr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>T - площадь благоустроенных дворовых территорий, м</w:t>
            </w:r>
            <w:proofErr w:type="gramStart"/>
            <w:r w:rsidRPr="00D307C5">
              <w:rPr>
                <w:sz w:val="18"/>
                <w:szCs w:val="18"/>
              </w:rPr>
              <w:t>2</w:t>
            </w:r>
            <w:proofErr w:type="gramEnd"/>
            <w:r w:rsidRPr="00D307C5">
              <w:rPr>
                <w:sz w:val="18"/>
                <w:szCs w:val="18"/>
              </w:rPr>
              <w:t>;</w:t>
            </w:r>
          </w:p>
          <w:p w:rsidR="001C696C" w:rsidRPr="003A2E79" w:rsidRDefault="00D307C5" w:rsidP="00D307C5">
            <w:pPr>
              <w:rPr>
                <w:sz w:val="18"/>
                <w:szCs w:val="18"/>
              </w:rPr>
            </w:pPr>
            <w:r w:rsidRPr="00D307C5">
              <w:rPr>
                <w:sz w:val="18"/>
                <w:szCs w:val="18"/>
              </w:rPr>
              <w:t>L - общая площадь дворовых территорий, м</w:t>
            </w:r>
            <w:proofErr w:type="gramStart"/>
            <w:r w:rsidRPr="00D307C5">
              <w:rPr>
                <w:sz w:val="18"/>
                <w:szCs w:val="18"/>
              </w:rPr>
              <w:t>2</w:t>
            </w:r>
            <w:proofErr w:type="gramEnd"/>
            <w:r w:rsidRPr="00D307C5">
              <w:rPr>
                <w:sz w:val="18"/>
                <w:szCs w:val="18"/>
              </w:rPr>
              <w:t>.</w:t>
            </w:r>
          </w:p>
        </w:tc>
      </w:tr>
      <w:tr w:rsidR="001C696C" w:rsidRPr="003A2E79" w:rsidTr="00770128">
        <w:tc>
          <w:tcPr>
            <w:tcW w:w="418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lastRenderedPageBreak/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1C696C" w:rsidRPr="003A2E79" w:rsidRDefault="00B44E73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</w:t>
            </w:r>
            <w:r w:rsidRPr="00B44E73">
              <w:rPr>
                <w:sz w:val="18"/>
                <w:szCs w:val="18"/>
              </w:rPr>
              <w:t>т</w:t>
            </w:r>
            <w:r w:rsidR="00C908E2">
              <w:rPr>
                <w:sz w:val="18"/>
                <w:szCs w:val="18"/>
              </w:rPr>
              <w:t xml:space="preserve"> 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  <w:tr w:rsidR="001C696C" w:rsidRPr="003A2E79" w:rsidTr="00770128">
        <w:tc>
          <w:tcPr>
            <w:tcW w:w="418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_____</w:t>
            </w:r>
            <w:r w:rsidR="00EC1958">
              <w:rPr>
                <w:sz w:val="18"/>
                <w:szCs w:val="18"/>
              </w:rPr>
              <w:t>0</w:t>
            </w:r>
            <w:r w:rsidRPr="003A2E79">
              <w:rPr>
                <w:sz w:val="18"/>
                <w:szCs w:val="18"/>
              </w:rPr>
              <w:t>________млн. руб.</w:t>
            </w:r>
          </w:p>
        </w:tc>
      </w:tr>
      <w:tr w:rsidR="001C696C" w:rsidRPr="003A2E79" w:rsidTr="00770128">
        <w:tc>
          <w:tcPr>
            <w:tcW w:w="418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источников информации для расчета показателей (индикаторов):</w:t>
            </w:r>
          </w:p>
          <w:p w:rsidR="001C696C" w:rsidRPr="003A2E79" w:rsidRDefault="00EC1958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EC1958">
              <w:rPr>
                <w:sz w:val="18"/>
                <w:szCs w:val="18"/>
              </w:rPr>
              <w:t>Отсутствуют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4378"/>
        <w:gridCol w:w="775"/>
        <w:gridCol w:w="3641"/>
      </w:tblGrid>
      <w:tr w:rsidR="001C696C" w:rsidRPr="003A2E79" w:rsidTr="00770128">
        <w:tc>
          <w:tcPr>
            <w:tcW w:w="406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13</w:t>
            </w:r>
            <w:r w:rsidRPr="003A2E79">
              <w:rPr>
                <w:sz w:val="18"/>
                <w:szCs w:val="1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1C696C" w:rsidRPr="003A2E79" w:rsidRDefault="0052729C" w:rsidP="00C90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  <w:r w:rsidR="00C908E2">
              <w:rPr>
                <w:sz w:val="18"/>
                <w:szCs w:val="18"/>
              </w:rPr>
              <w:t xml:space="preserve"> </w:t>
            </w:r>
            <w:r w:rsidR="00726426">
              <w:rPr>
                <w:sz w:val="18"/>
                <w:szCs w:val="18"/>
              </w:rPr>
              <w:t xml:space="preserve"> 2018 года</w:t>
            </w:r>
          </w:p>
        </w:tc>
      </w:tr>
      <w:tr w:rsidR="001C696C" w:rsidRPr="003A2E79" w:rsidTr="00770128">
        <w:tc>
          <w:tcPr>
            <w:tcW w:w="406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13</w:t>
            </w:r>
            <w:r w:rsidRPr="003A2E79">
              <w:rPr>
                <w:sz w:val="18"/>
                <w:szCs w:val="18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1C696C" w:rsidRPr="003A2E79" w:rsidRDefault="001C696C" w:rsidP="0072642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Необходимость установления переходных положений (переходного периода):</w:t>
            </w:r>
            <w:r w:rsidR="00726426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405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3</w:t>
            </w:r>
            <w:r w:rsidRPr="003A2E79">
              <w:rPr>
                <w:sz w:val="18"/>
                <w:szCs w:val="18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Указание (при наличии) на приложения.</w:t>
      </w:r>
    </w:p>
    <w:p w:rsidR="001C696C" w:rsidRPr="003A2E79" w:rsidRDefault="001C696C" w:rsidP="001C696C">
      <w:pPr>
        <w:rPr>
          <w:sz w:val="18"/>
          <w:szCs w:val="18"/>
        </w:rPr>
      </w:pPr>
    </w:p>
    <w:p w:rsidR="001C696C" w:rsidRDefault="001C696C" w:rsidP="001C696C">
      <w:pPr>
        <w:tabs>
          <w:tab w:val="left" w:pos="3600"/>
        </w:tabs>
        <w:rPr>
          <w:sz w:val="18"/>
          <w:szCs w:val="18"/>
        </w:rPr>
      </w:pPr>
      <w:r w:rsidRPr="003A2E79">
        <w:rPr>
          <w:sz w:val="18"/>
          <w:szCs w:val="18"/>
        </w:rPr>
        <w:tab/>
      </w:r>
    </w:p>
    <w:p w:rsidR="00726426" w:rsidRDefault="00726426" w:rsidP="001C696C">
      <w:pPr>
        <w:tabs>
          <w:tab w:val="left" w:pos="3600"/>
        </w:tabs>
        <w:rPr>
          <w:sz w:val="18"/>
          <w:szCs w:val="18"/>
        </w:rPr>
      </w:pPr>
    </w:p>
    <w:p w:rsidR="00726426" w:rsidRPr="003A2E79" w:rsidRDefault="00726426" w:rsidP="001C696C">
      <w:pPr>
        <w:tabs>
          <w:tab w:val="left" w:pos="3600"/>
        </w:tabs>
        <w:rPr>
          <w:sz w:val="18"/>
          <w:szCs w:val="18"/>
        </w:rPr>
      </w:pPr>
    </w:p>
    <w:p w:rsidR="000427CF" w:rsidRPr="00726426" w:rsidRDefault="00726426" w:rsidP="007507AD">
      <w:r w:rsidRPr="00726426">
        <w:t xml:space="preserve">Начальник </w:t>
      </w:r>
      <w:r w:rsidR="007507AD">
        <w:t xml:space="preserve"> УЖКХ                                                                                                 С.А. Мартынов</w:t>
      </w:r>
    </w:p>
    <w:sectPr w:rsidR="000427CF" w:rsidRPr="00726426" w:rsidSect="00726426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BD" w:rsidRDefault="00C671BD" w:rsidP="00266753">
      <w:r>
        <w:separator/>
      </w:r>
    </w:p>
  </w:endnote>
  <w:endnote w:type="continuationSeparator" w:id="0">
    <w:p w:rsidR="00C671BD" w:rsidRDefault="00C671BD" w:rsidP="0026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BD" w:rsidRDefault="00C671BD" w:rsidP="00266753">
      <w:r>
        <w:separator/>
      </w:r>
    </w:p>
  </w:footnote>
  <w:footnote w:type="continuationSeparator" w:id="0">
    <w:p w:rsidR="00C671BD" w:rsidRDefault="00C671BD" w:rsidP="00266753">
      <w:r>
        <w:continuationSeparator/>
      </w:r>
    </w:p>
  </w:footnote>
  <w:footnote w:id="1">
    <w:p w:rsidR="00C671BD" w:rsidRPr="00DA074C" w:rsidRDefault="00C671BD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a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 xml:space="preserve"> 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года № 1083-р.</w:t>
      </w:r>
    </w:p>
    <w:p w:rsidR="00C671BD" w:rsidRPr="00DA074C" w:rsidRDefault="00C671BD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</w:p>
  </w:footnote>
  <w:footnote w:id="2">
    <w:p w:rsidR="00C671BD" w:rsidRPr="00DA074C" w:rsidRDefault="00C671BD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a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</w:t>
      </w:r>
      <w:proofErr w:type="gramStart"/>
      <w:r w:rsidRPr="00DA074C">
        <w:rPr>
          <w:rFonts w:ascii="Times New Roman" w:hAnsi="Times New Roman"/>
          <w:sz w:val="16"/>
          <w:szCs w:val="16"/>
        </w:rPr>
        <w:t xml:space="preserve">Приобретение (установка и обслуживание) оборудования, </w:t>
      </w:r>
      <w:proofErr w:type="spellStart"/>
      <w:r w:rsidRPr="00DA074C">
        <w:rPr>
          <w:rFonts w:ascii="Times New Roman" w:hAnsi="Times New Roman"/>
          <w:sz w:val="16"/>
          <w:szCs w:val="16"/>
        </w:rPr>
        <w:t>найм</w:t>
      </w:r>
      <w:proofErr w:type="spellEnd"/>
      <w:r w:rsidRPr="00DA074C">
        <w:rPr>
          <w:rFonts w:ascii="Times New Roman" w:hAnsi="Times New Roman"/>
          <w:sz w:val="16"/>
          <w:szCs w:val="16"/>
        </w:rPr>
        <w:t xml:space="preserve"> дополнительного персонала, заказ (предоставление) услуг, выполнение работ, обучение персонала, обеспечение новых рабочих мест, иные содержательные издержки. </w:t>
      </w:r>
      <w:proofErr w:type="gramEnd"/>
    </w:p>
    <w:p w:rsidR="00C671BD" w:rsidRPr="00DA074C" w:rsidRDefault="00C671BD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</w:p>
  </w:footnote>
  <w:footnote w:id="3">
    <w:p w:rsidR="00C671BD" w:rsidRPr="00DA074C" w:rsidRDefault="00C671BD" w:rsidP="001C696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a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издержки.</w:t>
      </w:r>
    </w:p>
    <w:p w:rsidR="00C671BD" w:rsidRPr="00DA074C" w:rsidRDefault="00C671BD" w:rsidP="001C696C">
      <w:pPr>
        <w:pStyle w:val="a8"/>
        <w:rPr>
          <w:rFonts w:ascii="Times New Roman" w:hAnsi="Times New Roman"/>
          <w:sz w:val="16"/>
          <w:szCs w:val="16"/>
        </w:rPr>
      </w:pPr>
    </w:p>
  </w:footnote>
  <w:footnote w:id="4">
    <w:p w:rsidR="00C671BD" w:rsidRPr="00DA074C" w:rsidRDefault="00C671BD" w:rsidP="001C696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a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Налоговые льготы, субсидирование, иные льготы, выгоды, преимущества.</w:t>
      </w:r>
    </w:p>
    <w:p w:rsidR="00C671BD" w:rsidRPr="009C7DB0" w:rsidRDefault="00C671BD" w:rsidP="001C696C">
      <w:pPr>
        <w:pStyle w:val="a8"/>
        <w:rPr>
          <w:rFonts w:ascii="Times New Roman" w:hAnsi="Times New Roman"/>
        </w:rPr>
      </w:pPr>
    </w:p>
  </w:footnote>
  <w:footnote w:id="5">
    <w:p w:rsidR="00C671BD" w:rsidRPr="00DA074C" w:rsidRDefault="00C671BD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a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Указывается прогнозное значение  количественной оценки расходов (возможных поступлений) на 5 лет.</w:t>
      </w:r>
    </w:p>
  </w:footnote>
  <w:footnote w:id="6">
    <w:p w:rsidR="00C671BD" w:rsidRPr="00DA074C" w:rsidRDefault="00C671BD" w:rsidP="001C696C">
      <w:pPr>
        <w:pStyle w:val="a8"/>
        <w:jc w:val="both"/>
        <w:rPr>
          <w:sz w:val="16"/>
          <w:szCs w:val="16"/>
        </w:rPr>
      </w:pPr>
      <w:r w:rsidRPr="00DA074C">
        <w:rPr>
          <w:rStyle w:val="aa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ascii="Times New Roman" w:hAnsi="Times New Roman"/>
          <w:sz w:val="16"/>
          <w:szCs w:val="16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7">
    <w:p w:rsidR="00C671BD" w:rsidRPr="00B10580" w:rsidRDefault="00C671BD" w:rsidP="001C696C">
      <w:pPr>
        <w:pStyle w:val="a8"/>
        <w:rPr>
          <w:rFonts w:ascii="Times New Roman" w:hAnsi="Times New Roman"/>
        </w:rPr>
      </w:pPr>
      <w:r w:rsidRPr="00DA074C">
        <w:rPr>
          <w:rStyle w:val="aa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Указываются данные из раздела 5 сводного отчета.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BD" w:rsidRPr="004C359F" w:rsidRDefault="00C671BD" w:rsidP="00E21CC0">
    <w:pPr>
      <w:pStyle w:val="a3"/>
      <w:jc w:val="center"/>
    </w:pPr>
    <w:fldSimple w:instr="PAGE   \* MERGEFORMAT">
      <w:r w:rsidR="00E03477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123D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701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C0"/>
    <w:rsid w:val="00010C55"/>
    <w:rsid w:val="00017B29"/>
    <w:rsid w:val="00024058"/>
    <w:rsid w:val="000427CF"/>
    <w:rsid w:val="00056BCC"/>
    <w:rsid w:val="00060A3D"/>
    <w:rsid w:val="00061606"/>
    <w:rsid w:val="00074083"/>
    <w:rsid w:val="000845F7"/>
    <w:rsid w:val="00093F65"/>
    <w:rsid w:val="000A3A39"/>
    <w:rsid w:val="000B2C7B"/>
    <w:rsid w:val="000B5522"/>
    <w:rsid w:val="000B6088"/>
    <w:rsid w:val="000B7EF2"/>
    <w:rsid w:val="000C6BD6"/>
    <w:rsid w:val="000E3E7F"/>
    <w:rsid w:val="000F6F04"/>
    <w:rsid w:val="0011445F"/>
    <w:rsid w:val="001167BF"/>
    <w:rsid w:val="0013380C"/>
    <w:rsid w:val="00143EAE"/>
    <w:rsid w:val="00160A57"/>
    <w:rsid w:val="001857D7"/>
    <w:rsid w:val="001A1551"/>
    <w:rsid w:val="001B7536"/>
    <w:rsid w:val="001C617D"/>
    <w:rsid w:val="001C696C"/>
    <w:rsid w:val="001D2B39"/>
    <w:rsid w:val="001E5E4F"/>
    <w:rsid w:val="001F28A1"/>
    <w:rsid w:val="001F2AA3"/>
    <w:rsid w:val="00242E7F"/>
    <w:rsid w:val="002564D1"/>
    <w:rsid w:val="00266652"/>
    <w:rsid w:val="00266753"/>
    <w:rsid w:val="00266B5F"/>
    <w:rsid w:val="0027409F"/>
    <w:rsid w:val="0029200A"/>
    <w:rsid w:val="00293598"/>
    <w:rsid w:val="00295616"/>
    <w:rsid w:val="002A67AF"/>
    <w:rsid w:val="002B7034"/>
    <w:rsid w:val="002E255C"/>
    <w:rsid w:val="003016F4"/>
    <w:rsid w:val="00325A4E"/>
    <w:rsid w:val="0033199F"/>
    <w:rsid w:val="00340E3B"/>
    <w:rsid w:val="003954E5"/>
    <w:rsid w:val="003D68F6"/>
    <w:rsid w:val="003E1886"/>
    <w:rsid w:val="00402FD7"/>
    <w:rsid w:val="004056CA"/>
    <w:rsid w:val="0041253A"/>
    <w:rsid w:val="004331E6"/>
    <w:rsid w:val="00442065"/>
    <w:rsid w:val="00465BF6"/>
    <w:rsid w:val="00472105"/>
    <w:rsid w:val="00473EAB"/>
    <w:rsid w:val="00484D90"/>
    <w:rsid w:val="0048711F"/>
    <w:rsid w:val="004A56D8"/>
    <w:rsid w:val="004B7A37"/>
    <w:rsid w:val="004D1BF0"/>
    <w:rsid w:val="004E394F"/>
    <w:rsid w:val="004F591E"/>
    <w:rsid w:val="0050085A"/>
    <w:rsid w:val="005224B4"/>
    <w:rsid w:val="0052729C"/>
    <w:rsid w:val="00531BE0"/>
    <w:rsid w:val="00571A4C"/>
    <w:rsid w:val="0058171E"/>
    <w:rsid w:val="005D57FC"/>
    <w:rsid w:val="005D7898"/>
    <w:rsid w:val="005F1B4B"/>
    <w:rsid w:val="005F425D"/>
    <w:rsid w:val="00614D65"/>
    <w:rsid w:val="00633BEA"/>
    <w:rsid w:val="00633F90"/>
    <w:rsid w:val="00652BCA"/>
    <w:rsid w:val="00657E8B"/>
    <w:rsid w:val="006712BD"/>
    <w:rsid w:val="00674093"/>
    <w:rsid w:val="00677C69"/>
    <w:rsid w:val="00686BC2"/>
    <w:rsid w:val="006E1D65"/>
    <w:rsid w:val="00711FD4"/>
    <w:rsid w:val="00712B97"/>
    <w:rsid w:val="007133A1"/>
    <w:rsid w:val="00726426"/>
    <w:rsid w:val="00727876"/>
    <w:rsid w:val="007333A0"/>
    <w:rsid w:val="007507AD"/>
    <w:rsid w:val="00761668"/>
    <w:rsid w:val="00770128"/>
    <w:rsid w:val="00772436"/>
    <w:rsid w:val="00795F61"/>
    <w:rsid w:val="007A08BA"/>
    <w:rsid w:val="007C1949"/>
    <w:rsid w:val="007C37A9"/>
    <w:rsid w:val="007C5AEA"/>
    <w:rsid w:val="007D19AE"/>
    <w:rsid w:val="007E0D2B"/>
    <w:rsid w:val="007E2220"/>
    <w:rsid w:val="00802E85"/>
    <w:rsid w:val="008174EA"/>
    <w:rsid w:val="00824655"/>
    <w:rsid w:val="008357D2"/>
    <w:rsid w:val="0084453E"/>
    <w:rsid w:val="0084665B"/>
    <w:rsid w:val="0085351B"/>
    <w:rsid w:val="00865EB6"/>
    <w:rsid w:val="008941C8"/>
    <w:rsid w:val="0089708C"/>
    <w:rsid w:val="008A03DD"/>
    <w:rsid w:val="008A0825"/>
    <w:rsid w:val="008A6FAD"/>
    <w:rsid w:val="008B0EF7"/>
    <w:rsid w:val="008D0354"/>
    <w:rsid w:val="008D20BF"/>
    <w:rsid w:val="008E1C01"/>
    <w:rsid w:val="008E5019"/>
    <w:rsid w:val="009224DD"/>
    <w:rsid w:val="00934219"/>
    <w:rsid w:val="0094002F"/>
    <w:rsid w:val="00945DE6"/>
    <w:rsid w:val="00955492"/>
    <w:rsid w:val="00955AF9"/>
    <w:rsid w:val="00982A35"/>
    <w:rsid w:val="009A25F3"/>
    <w:rsid w:val="009D3151"/>
    <w:rsid w:val="009D46C4"/>
    <w:rsid w:val="009E46D8"/>
    <w:rsid w:val="00A004F3"/>
    <w:rsid w:val="00A2197F"/>
    <w:rsid w:val="00A269F2"/>
    <w:rsid w:val="00A30ACC"/>
    <w:rsid w:val="00A556D7"/>
    <w:rsid w:val="00A61723"/>
    <w:rsid w:val="00A65419"/>
    <w:rsid w:val="00A67570"/>
    <w:rsid w:val="00A90515"/>
    <w:rsid w:val="00A95630"/>
    <w:rsid w:val="00AA5F46"/>
    <w:rsid w:val="00AB5A9D"/>
    <w:rsid w:val="00AF39A3"/>
    <w:rsid w:val="00B06AB0"/>
    <w:rsid w:val="00B31267"/>
    <w:rsid w:val="00B3496A"/>
    <w:rsid w:val="00B42E1D"/>
    <w:rsid w:val="00B44E73"/>
    <w:rsid w:val="00B62B06"/>
    <w:rsid w:val="00BB064F"/>
    <w:rsid w:val="00BD19A5"/>
    <w:rsid w:val="00BE3AC6"/>
    <w:rsid w:val="00BE5602"/>
    <w:rsid w:val="00C0146C"/>
    <w:rsid w:val="00C07E81"/>
    <w:rsid w:val="00C12158"/>
    <w:rsid w:val="00C13522"/>
    <w:rsid w:val="00C31D8C"/>
    <w:rsid w:val="00C5454E"/>
    <w:rsid w:val="00C6550B"/>
    <w:rsid w:val="00C671BD"/>
    <w:rsid w:val="00C74B11"/>
    <w:rsid w:val="00C908E2"/>
    <w:rsid w:val="00C95750"/>
    <w:rsid w:val="00C96898"/>
    <w:rsid w:val="00CB62C4"/>
    <w:rsid w:val="00CC3B47"/>
    <w:rsid w:val="00CC3C88"/>
    <w:rsid w:val="00CF665D"/>
    <w:rsid w:val="00D01DB0"/>
    <w:rsid w:val="00D03A3A"/>
    <w:rsid w:val="00D21B91"/>
    <w:rsid w:val="00D307C5"/>
    <w:rsid w:val="00D3115C"/>
    <w:rsid w:val="00D7645D"/>
    <w:rsid w:val="00D77B99"/>
    <w:rsid w:val="00D8236F"/>
    <w:rsid w:val="00D93A69"/>
    <w:rsid w:val="00DA138F"/>
    <w:rsid w:val="00DA264C"/>
    <w:rsid w:val="00DA28B3"/>
    <w:rsid w:val="00DA501C"/>
    <w:rsid w:val="00DA7578"/>
    <w:rsid w:val="00DB020D"/>
    <w:rsid w:val="00DB5F7E"/>
    <w:rsid w:val="00DB6181"/>
    <w:rsid w:val="00DB7E53"/>
    <w:rsid w:val="00DE4EA3"/>
    <w:rsid w:val="00DF5D03"/>
    <w:rsid w:val="00E02735"/>
    <w:rsid w:val="00E03477"/>
    <w:rsid w:val="00E10C64"/>
    <w:rsid w:val="00E2029A"/>
    <w:rsid w:val="00E21CC0"/>
    <w:rsid w:val="00E44DCB"/>
    <w:rsid w:val="00E57A8A"/>
    <w:rsid w:val="00E73985"/>
    <w:rsid w:val="00E8654F"/>
    <w:rsid w:val="00E9086C"/>
    <w:rsid w:val="00E94208"/>
    <w:rsid w:val="00EA790D"/>
    <w:rsid w:val="00EC1958"/>
    <w:rsid w:val="00ED6FD0"/>
    <w:rsid w:val="00EF382C"/>
    <w:rsid w:val="00EF4F94"/>
    <w:rsid w:val="00EF5695"/>
    <w:rsid w:val="00F53DF4"/>
    <w:rsid w:val="00F5412B"/>
    <w:rsid w:val="00F71664"/>
    <w:rsid w:val="00F76057"/>
    <w:rsid w:val="00F84783"/>
    <w:rsid w:val="00F84D89"/>
    <w:rsid w:val="00F968E6"/>
    <w:rsid w:val="00FA2C02"/>
    <w:rsid w:val="00FD2377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  <w:style w:type="character" w:styleId="a6">
    <w:name w:val="Strong"/>
    <w:uiPriority w:val="22"/>
    <w:qFormat/>
    <w:rsid w:val="00A2197F"/>
    <w:rPr>
      <w:b/>
      <w:bCs/>
    </w:rPr>
  </w:style>
  <w:style w:type="paragraph" w:styleId="a7">
    <w:name w:val="List Paragraph"/>
    <w:basedOn w:val="a"/>
    <w:uiPriority w:val="34"/>
    <w:qFormat/>
    <w:rsid w:val="00982A35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03A3A"/>
    <w:rPr>
      <w:rFonts w:ascii="Arial" w:hAnsi="Arial" w:cs="Arial"/>
    </w:rPr>
  </w:style>
  <w:style w:type="paragraph" w:customStyle="1" w:styleId="ConsPlusNormal0">
    <w:name w:val="ConsPlusNormal"/>
    <w:link w:val="ConsPlusNormal"/>
    <w:rsid w:val="00D03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unhideWhenUsed/>
    <w:rsid w:val="001C696C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1C696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1C696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246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6070</TotalTime>
  <Pages>7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050511</cp:lastModifiedBy>
  <cp:revision>74</cp:revision>
  <cp:lastPrinted>2018-05-17T04:34:00Z</cp:lastPrinted>
  <dcterms:created xsi:type="dcterms:W3CDTF">2017-05-30T05:11:00Z</dcterms:created>
  <dcterms:modified xsi:type="dcterms:W3CDTF">2018-05-18T09:31:00Z</dcterms:modified>
</cp:coreProperties>
</file>