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70563" cy="6120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5165043" name="Picture 1" descr="gerb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rot="0" flipH="0" flipV="0">
                          <a:off x="0" y="0"/>
                          <a:ext cx="670563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80pt;height:48.19pt;mso-wrap-distance-left:0.00pt;mso-wrap-distance-top:0.00pt;mso-wrap-distance-right:0.00pt;mso-wrap-distance-bottom:0.00pt;rotation:0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tabs>
          <w:tab w:val="left" w:pos="2880" w:leader="none"/>
        </w:tabs>
        <w:rPr>
          <w:b/>
          <w:szCs w:val="28"/>
        </w:rPr>
      </w:pPr>
      <w:r>
        <w:rPr>
          <w:b/>
          <w:szCs w:val="28"/>
        </w:rPr>
        <w:t xml:space="preserve">РЕГИОНАЛЬНАЯ СЛУЖБА ПО ТАРИФАМ</w:t>
      </w:r>
      <w:r>
        <w:rPr>
          <w:b/>
          <w:szCs w:val="28"/>
        </w:rPr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ХАНТЫ-МАНСИЙСКОГО АВТОНОМНОГО ОКРУГА </w:t>
      </w:r>
      <w:r>
        <w:rPr>
          <w:b/>
          <w:szCs w:val="28"/>
        </w:rPr>
        <w:t xml:space="preserve">–</w:t>
      </w:r>
      <w:r>
        <w:rPr>
          <w:b/>
          <w:szCs w:val="28"/>
        </w:rPr>
        <w:t xml:space="preserve"> ЮГРЫ</w:t>
      </w:r>
      <w:r>
        <w:rPr>
          <w:b/>
          <w:szCs w:val="28"/>
        </w:rPr>
      </w:r>
    </w:p>
    <w:p>
      <w:pPr>
        <w:jc w:val="center"/>
        <w:rPr>
          <w:b/>
          <w:szCs w:val="26"/>
        </w:rPr>
      </w:pPr>
      <w:r>
        <w:rPr>
          <w:b/>
          <w:szCs w:val="26"/>
        </w:rPr>
        <w:t xml:space="preserve">(РСТ ЮГРЫ)</w:t>
      </w:r>
      <w:r>
        <w:rPr>
          <w:b/>
          <w:szCs w:val="26"/>
        </w:rPr>
      </w:r>
    </w:p>
    <w:p>
      <w:pPr>
        <w:ind w:left="-142" w:firstLine="142"/>
        <w:jc w:val="center"/>
      </w:pPr>
      <w:r/>
      <w:r/>
    </w:p>
    <w:p>
      <w:pPr>
        <w:jc w:val="center"/>
        <w:shd w:val="clear" w:color="auto" w:fill="ffffff"/>
        <w:rPr>
          <w:b/>
          <w:color w:val="000000"/>
          <w:sz w:val="31"/>
        </w:rPr>
      </w:pPr>
      <w:r>
        <w:rPr>
          <w:b/>
          <w:color w:val="000000"/>
          <w:sz w:val="31"/>
        </w:rPr>
        <w:t xml:space="preserve">ПРИКАЗ </w:t>
      </w:r>
      <w:r>
        <w:rPr>
          <w:b/>
          <w:color w:val="000000"/>
          <w:sz w:val="31"/>
        </w:rPr>
      </w:r>
    </w:p>
    <w:p>
      <w:pPr>
        <w:jc w:val="center"/>
        <w:shd w:val="clear" w:color="auto" w:fill="ffffff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center"/>
        <w:spacing w:line="276" w:lineRule="auto"/>
        <w:tabs>
          <w:tab w:val="center" w:pos="4535" w:leader="none"/>
          <w:tab w:val="left" w:pos="8355" w:leader="none"/>
        </w:tabs>
        <w:rPr>
          <w:szCs w:val="28"/>
        </w:rPr>
      </w:pPr>
      <w:r>
        <w:rPr>
          <w:szCs w:val="28"/>
        </w:rPr>
        <w:t xml:space="preserve">Об установлении фиксированных тарифов на субсидируемые перевозки пассажиров и багажа речным транспортом по </w:t>
      </w:r>
      <w:r>
        <w:t xml:space="preserve">маршрутам</w:t>
      </w:r>
      <w:r>
        <w:rPr>
          <w:szCs w:val="28"/>
        </w:rPr>
        <w:t xml:space="preserve"> </w:t>
      </w:r>
      <w:r>
        <w:rPr>
          <w:szCs w:val="28"/>
        </w:rPr>
        <w:t xml:space="preserve">Кондинского</w:t>
      </w:r>
      <w:r>
        <w:rPr>
          <w:szCs w:val="28"/>
        </w:rPr>
        <w:t xml:space="preserve"> района, осуществляемые акционерным обществом «</w:t>
      </w:r>
      <w:r>
        <w:rPr>
          <w:szCs w:val="28"/>
        </w:rPr>
        <w:t xml:space="preserve">Сев</w:t>
      </w:r>
      <w:r>
        <w:rPr>
          <w:szCs w:val="28"/>
        </w:rPr>
        <w:t xml:space="preserve">ерречфлот</w:t>
      </w:r>
      <w:r>
        <w:rPr>
          <w:szCs w:val="28"/>
        </w:rPr>
        <w:t xml:space="preserve">»</w:t>
      </w:r>
      <w:r>
        <w:rPr>
          <w:szCs w:val="28"/>
        </w:rPr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г. Ханты-</w:t>
      </w:r>
      <w:r>
        <w:rPr>
          <w:color w:val="000000"/>
        </w:rPr>
        <w:t xml:space="preserve">Мансийск</w:t>
      </w:r>
      <w:r>
        <w:rPr>
          <w:color w:val="000000"/>
        </w:rPr>
      </w:r>
    </w:p>
    <w:p>
      <w:pPr>
        <w:shd w:val="clear" w:color="auto" w:fill="ffffff"/>
        <w:tabs>
          <w:tab w:val="left" w:pos="7371" w:leader="none"/>
        </w:tabs>
        <w:rPr>
          <w:color w:val="000000"/>
        </w:rPr>
      </w:pPr>
      <w:r>
        <w:rPr>
          <w:color w:val="000000"/>
        </w:rPr>
        <w:t xml:space="preserve">23 апреля</w:t>
      </w:r>
      <w:r>
        <w:rPr>
          <w:color w:val="000000"/>
        </w:rPr>
        <w:t xml:space="preserve"> 20</w:t>
      </w:r>
      <w:r>
        <w:rPr>
          <w:color w:val="000000"/>
        </w:rPr>
        <w:t xml:space="preserve">2</w:t>
      </w:r>
      <w:r>
        <w:rPr>
          <w:color w:val="000000"/>
        </w:rPr>
        <w:t xml:space="preserve">4</w:t>
      </w:r>
      <w:r>
        <w:rPr>
          <w:color w:val="000000"/>
        </w:rPr>
        <w:t xml:space="preserve"> г.</w:t>
      </w:r>
      <w:r>
        <w:rPr>
          <w:color w:val="000000"/>
        </w:rPr>
        <w:tab/>
        <w:t xml:space="preserve">         № </w:t>
      </w:r>
      <w:r>
        <w:rPr>
          <w:color w:val="000000"/>
        </w:rPr>
        <w:t xml:space="preserve">29-</w:t>
      </w:r>
      <w:r>
        <w:rPr>
          <w:color w:val="000000"/>
        </w:rPr>
        <w:t xml:space="preserve">нп</w:t>
      </w:r>
      <w:r>
        <w:rPr>
          <w:color w:val="000000"/>
        </w:rPr>
      </w:r>
    </w:p>
    <w:p>
      <w:pPr>
        <w:pStyle w:val="893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893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firstLine="708"/>
        <w:jc w:val="both"/>
        <w:shd w:val="clear" w:color="auto" w:fill="ffffff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постановлением Правительства Ханты-Мансийского автономного округа от 1 февраля </w:t>
      </w:r>
      <w:r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 xml:space="preserve">2001 года № 17-п «О регулировании цен (тарифов) на продукцию (тов</w:t>
      </w:r>
      <w:r>
        <w:rPr>
          <w:szCs w:val="28"/>
        </w:rPr>
        <w:t xml:space="preserve">ары, услуги) в Ханты-Мансийском </w:t>
      </w:r>
      <w:r>
        <w:rPr>
          <w:szCs w:val="28"/>
        </w:rPr>
        <w:t xml:space="preserve">автономном округе – Югре», постановлениями Правительства Ханты-Мансийского автономного </w:t>
      </w:r>
      <w:r>
        <w:rPr>
          <w:szCs w:val="28"/>
        </w:rPr>
        <w:t xml:space="preserve">  </w:t>
      </w:r>
      <w:r>
        <w:rPr>
          <w:szCs w:val="28"/>
        </w:rPr>
        <w:t xml:space="preserve">  </w:t>
      </w:r>
      <w:r>
        <w:rPr>
          <w:szCs w:val="28"/>
        </w:rPr>
        <w:t xml:space="preserve">округа – Югры от 4 мая 2007 года</w:t>
      </w:r>
      <w:r>
        <w:rPr>
          <w:szCs w:val="28"/>
        </w:rPr>
        <w:t xml:space="preserve"> </w:t>
      </w:r>
      <w:r>
        <w:rPr>
          <w:szCs w:val="28"/>
        </w:rPr>
        <w:t xml:space="preserve">№ 114-п «Об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</w:t>
      </w:r>
      <w:r>
        <w:rPr>
          <w:szCs w:val="28"/>
        </w:rPr>
        <w:t xml:space="preserve">и Ханты-Мансийского автономного</w:t>
      </w:r>
      <w:r>
        <w:rPr>
          <w:szCs w:val="28"/>
        </w:rPr>
        <w:t xml:space="preserve"> </w:t>
      </w:r>
      <w:r>
        <w:rPr>
          <w:szCs w:val="28"/>
        </w:rPr>
        <w:t xml:space="preserve">округа – Югры», от 14 апреля 2012 года № 137-п «О Региональной службе по тарифам Ханты-Мансийского автономного округа – Югры»</w:t>
      </w:r>
      <w:r>
        <w:rPr>
          <w:szCs w:val="28"/>
        </w:rPr>
        <w:t xml:space="preserve">, </w:t>
      </w:r>
      <w:r>
        <w:rPr>
          <w:szCs w:val="28"/>
        </w:rPr>
        <w:t xml:space="preserve">от 1 марта 2013 года № 63-п </w:t>
      </w:r>
      <w:r>
        <w:rPr>
          <w:szCs w:val="28"/>
        </w:rPr>
        <w:t xml:space="preserve">                                          </w:t>
      </w:r>
      <w:r>
        <w:rPr>
          <w:szCs w:val="28"/>
        </w:rPr>
        <w:t xml:space="preserve">«О государственном регулировании цен (тарифов) на отдельные товары (услуги) в Ханты-Мансийском автономном округе – Югре», </w:t>
      </w:r>
      <w:r>
        <w:rPr>
          <w:szCs w:val="28"/>
        </w:rPr>
        <w:t xml:space="preserve">на основании обращения </w:t>
      </w:r>
      <w:r>
        <w:rPr>
          <w:szCs w:val="28"/>
        </w:rPr>
        <w:t xml:space="preserve">акцио</w:t>
      </w:r>
      <w:r>
        <w:rPr>
          <w:szCs w:val="28"/>
        </w:rPr>
        <w:t xml:space="preserve">нерного общества «</w:t>
      </w:r>
      <w:r>
        <w:rPr>
          <w:szCs w:val="28"/>
        </w:rPr>
        <w:t xml:space="preserve">Северречфлот</w:t>
      </w:r>
      <w:r>
        <w:rPr>
          <w:szCs w:val="28"/>
        </w:rPr>
        <w:t xml:space="preserve">» </w:t>
      </w:r>
      <w:r>
        <w:rPr>
          <w:szCs w:val="28"/>
        </w:rPr>
        <w:t xml:space="preserve">и</w:t>
      </w:r>
      <w:r>
        <w:rPr>
          <w:szCs w:val="28"/>
        </w:rPr>
        <w:t xml:space="preserve"> </w:t>
      </w:r>
      <w:r>
        <w:rPr>
          <w:szCs w:val="28"/>
        </w:rPr>
        <w:t xml:space="preserve"> протокола правления Региональной службы по тарифам</w:t>
      </w:r>
      <w:r>
        <w:rPr>
          <w:szCs w:val="28"/>
        </w:rPr>
        <w:t xml:space="preserve"> </w:t>
      </w:r>
      <w:r>
        <w:rPr>
          <w:szCs w:val="28"/>
        </w:rPr>
        <w:t xml:space="preserve">Ханты-Мансийского автономного </w:t>
      </w:r>
      <w:r>
        <w:rPr>
          <w:szCs w:val="28"/>
        </w:rPr>
        <w:t xml:space="preserve"> </w:t>
      </w:r>
      <w:bookmarkStart w:id="0" w:name="_GoBack"/>
      <w:r/>
      <w:bookmarkEnd w:id="0"/>
      <w:r>
        <w:rPr>
          <w:szCs w:val="28"/>
        </w:rPr>
        <w:t xml:space="preserve">округа – Югры </w:t>
      </w:r>
      <w:r>
        <w:rPr>
          <w:szCs w:val="28"/>
        </w:rPr>
        <w:t xml:space="preserve">от 23 апреля</w:t>
      </w:r>
      <w:r>
        <w:rPr>
          <w:szCs w:val="28"/>
        </w:rPr>
        <w:t xml:space="preserve"> </w:t>
      </w:r>
      <w:r>
        <w:rPr>
          <w:szCs w:val="28"/>
        </w:rPr>
        <w:t xml:space="preserve">20</w:t>
      </w:r>
      <w:r>
        <w:rPr>
          <w:szCs w:val="28"/>
        </w:rPr>
        <w:t xml:space="preserve">2</w:t>
      </w:r>
      <w:r>
        <w:rPr>
          <w:szCs w:val="28"/>
        </w:rPr>
        <w:t xml:space="preserve">4</w:t>
      </w:r>
      <w:r>
        <w:rPr>
          <w:szCs w:val="28"/>
        </w:rPr>
        <w:t xml:space="preserve"> года</w:t>
      </w:r>
      <w:r>
        <w:rPr>
          <w:szCs w:val="28"/>
        </w:rPr>
        <w:t xml:space="preserve"> </w:t>
      </w:r>
      <w:r>
        <w:rPr>
          <w:szCs w:val="28"/>
        </w:rPr>
        <w:t xml:space="preserve">№ </w:t>
      </w:r>
      <w:r>
        <w:rPr>
          <w:szCs w:val="28"/>
        </w:rPr>
        <w:t xml:space="preserve">17 </w:t>
      </w:r>
      <w:r>
        <w:rPr>
          <w:b/>
          <w:szCs w:val="28"/>
        </w:rPr>
        <w:t xml:space="preserve">п р и к а з ы в а ю</w:t>
      </w:r>
      <w:r>
        <w:rPr>
          <w:szCs w:val="28"/>
        </w:rPr>
        <w:t xml:space="preserve">:</w:t>
      </w:r>
      <w:r>
        <w:rPr>
          <w:szCs w:val="28"/>
        </w:rPr>
      </w:r>
    </w:p>
    <w:p>
      <w:pPr>
        <w:ind w:firstLine="708"/>
        <w:jc w:val="both"/>
        <w:shd w:val="clear" w:color="auto" w:fill="ffffff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firstLine="708"/>
        <w:jc w:val="both"/>
        <w:rPr>
          <w:szCs w:val="28"/>
        </w:rPr>
      </w:pPr>
      <w:r>
        <w:t xml:space="preserve">1</w:t>
      </w:r>
      <w:r>
        <w:rPr>
          <w:szCs w:val="28"/>
        </w:rPr>
        <w:t xml:space="preserve">. </w:t>
      </w:r>
      <w:r>
        <w:rPr>
          <w:szCs w:val="28"/>
        </w:rPr>
        <w:t xml:space="preserve">Установить фиксированные тарифы на субсидируемые перевозки пассажиров и багажа речным транспортом по маршрутам </w:t>
      </w:r>
      <w:r>
        <w:rPr>
          <w:szCs w:val="28"/>
        </w:rPr>
        <w:t xml:space="preserve">Кондинского</w:t>
      </w:r>
      <w:r>
        <w:rPr>
          <w:szCs w:val="28"/>
        </w:rPr>
        <w:t xml:space="preserve"> района, осуществляемые акционерным обществом «</w:t>
      </w:r>
      <w:r>
        <w:rPr>
          <w:szCs w:val="28"/>
        </w:rPr>
        <w:t xml:space="preserve">Севе</w:t>
      </w:r>
      <w:r>
        <w:rPr>
          <w:szCs w:val="28"/>
        </w:rPr>
        <w:t xml:space="preserve">рречфлот</w:t>
      </w:r>
      <w:r>
        <w:rPr>
          <w:szCs w:val="28"/>
        </w:rPr>
        <w:t xml:space="preserve">»,</w:t>
      </w:r>
      <w:r>
        <w:rPr>
          <w:szCs w:val="28"/>
        </w:rPr>
        <w:t xml:space="preserve"> согласно приложению к настоящему приказу.</w:t>
      </w:r>
      <w:r>
        <w:rPr>
          <w:szCs w:val="28"/>
        </w:rPr>
      </w:r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 xml:space="preserve">Тарифы, установленные пунктом 1 настоящего приказа, действуют в течение 1 года со дня вступления в силу настоящего приказа.</w:t>
      </w:r>
      <w:r>
        <w:rPr>
          <w:szCs w:val="28"/>
        </w:rPr>
      </w:r>
    </w:p>
    <w:p>
      <w:pPr>
        <w:ind w:firstLine="708"/>
        <w:jc w:val="both"/>
        <w:rPr>
          <w:b/>
          <w:bCs/>
          <w:szCs w:val="28"/>
        </w:rPr>
      </w:pPr>
      <w:r>
        <w:rPr>
          <w:bCs/>
          <w:szCs w:val="28"/>
        </w:rPr>
        <w:t xml:space="preserve">3</w:t>
      </w:r>
      <w:r>
        <w:rPr>
          <w:bCs/>
          <w:szCs w:val="28"/>
        </w:rPr>
        <w:t xml:space="preserve">. </w:t>
      </w:r>
      <w:r>
        <w:rPr>
          <w:bCs/>
          <w:szCs w:val="28"/>
        </w:rPr>
        <w:t xml:space="preserve">Признать утратившим силу приказ Региональной службы по тарифам Ханты-Мансийского автономного округа – Югры </w:t>
      </w:r>
      <w:r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2</w:t>
      </w:r>
      <w:r>
        <w:rPr>
          <w:color w:val="000000"/>
          <w:szCs w:val="28"/>
        </w:rPr>
        <w:t xml:space="preserve">5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апреля </w:t>
      </w:r>
      <w:r>
        <w:rPr>
          <w:color w:val="000000"/>
          <w:szCs w:val="28"/>
        </w:rPr>
        <w:t xml:space="preserve">202</w:t>
      </w:r>
      <w:r>
        <w:rPr>
          <w:color w:val="000000"/>
          <w:szCs w:val="28"/>
        </w:rPr>
        <w:t xml:space="preserve">3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года № </w:t>
      </w:r>
      <w:r>
        <w:rPr>
          <w:color w:val="000000"/>
          <w:szCs w:val="28"/>
        </w:rPr>
        <w:t xml:space="preserve">24</w:t>
      </w:r>
      <w:r>
        <w:rPr>
          <w:color w:val="000000"/>
          <w:szCs w:val="28"/>
        </w:rPr>
        <w:t xml:space="preserve">-нп</w:t>
      </w:r>
      <w:r>
        <w:rPr>
          <w:color w:val="000000"/>
          <w:szCs w:val="28"/>
        </w:rPr>
        <w:t xml:space="preserve"> </w:t>
      </w:r>
      <w:r>
        <w:rPr>
          <w:bCs/>
          <w:szCs w:val="28"/>
        </w:rPr>
        <w:t xml:space="preserve">«</w:t>
      </w:r>
      <w:r>
        <w:rPr>
          <w:szCs w:val="28"/>
        </w:rPr>
        <w:t xml:space="preserve">Об установлении фиксированных тарифов на субсидируемые перевозки пассажиров и багажа речным транспортом по маршрутам </w:t>
      </w:r>
      <w:r>
        <w:rPr>
          <w:szCs w:val="28"/>
        </w:rPr>
        <w:t xml:space="preserve">Кондинского</w:t>
      </w:r>
      <w:r>
        <w:rPr>
          <w:szCs w:val="28"/>
        </w:rPr>
        <w:t xml:space="preserve"> района, осуществляемые акционерным обществом «</w:t>
      </w:r>
      <w:r>
        <w:rPr>
          <w:szCs w:val="28"/>
        </w:rPr>
        <w:t xml:space="preserve">Сев</w:t>
      </w:r>
      <w:r>
        <w:rPr>
          <w:szCs w:val="28"/>
        </w:rPr>
        <w:t xml:space="preserve">ерречфлот</w:t>
      </w:r>
      <w:r>
        <w:rPr>
          <w:szCs w:val="28"/>
        </w:rPr>
        <w:t xml:space="preserve">»</w:t>
      </w:r>
      <w:r>
        <w:rPr>
          <w:bCs/>
          <w:szCs w:val="28"/>
        </w:rPr>
        <w:t xml:space="preserve">.</w:t>
      </w:r>
      <w:r>
        <w:rPr>
          <w:b/>
          <w:bCs/>
          <w:szCs w:val="28"/>
        </w:rPr>
      </w:r>
    </w:p>
    <w:p>
      <w:pPr>
        <w:ind w:firstLine="720"/>
        <w:jc w:val="both"/>
        <w:tabs>
          <w:tab w:val="left" w:pos="6195" w:leader="none"/>
        </w:tabs>
        <w:rPr>
          <w:szCs w:val="28"/>
        </w:rPr>
      </w:pPr>
      <w:r>
        <w:rPr>
          <w:szCs w:val="28"/>
        </w:rPr>
        <w:t xml:space="preserve">4. Настоящий приказ вступает в силу </w:t>
      </w:r>
      <w:r>
        <w:rPr>
          <w:szCs w:val="28"/>
        </w:rPr>
        <w:t xml:space="preserve">по истечении десяти дней после дня </w:t>
      </w:r>
      <w:r>
        <w:rPr>
          <w:szCs w:val="28"/>
        </w:rPr>
        <w:t xml:space="preserve">его</w:t>
      </w:r>
      <w:r>
        <w:rPr>
          <w:szCs w:val="28"/>
        </w:rPr>
        <w:t xml:space="preserve"> официального опубликования</w:t>
      </w:r>
      <w:r>
        <w:rPr>
          <w:szCs w:val="28"/>
        </w:rPr>
        <w:t xml:space="preserve">.</w:t>
      </w:r>
      <w:r>
        <w:rPr>
          <w:szCs w:val="28"/>
        </w:rPr>
      </w:r>
    </w:p>
    <w:p>
      <w:pPr>
        <w:ind w:firstLine="720"/>
        <w:jc w:val="both"/>
        <w:tabs>
          <w:tab w:val="left" w:pos="6195" w:leader="none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</w:r>
    </w:p>
    <w:p>
      <w:pPr>
        <w:ind w:firstLine="720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firstLine="720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  <w:t xml:space="preserve">Р</w:t>
      </w:r>
      <w:r>
        <w:rPr>
          <w:szCs w:val="28"/>
        </w:rPr>
        <w:t xml:space="preserve">уководител</w:t>
      </w:r>
      <w:r>
        <w:rPr>
          <w:szCs w:val="28"/>
        </w:rPr>
        <w:t xml:space="preserve">ь</w:t>
      </w:r>
      <w:r>
        <w:rPr>
          <w:szCs w:val="28"/>
        </w:rPr>
        <w:t xml:space="preserve"> службы</w:t>
      </w: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А.А. Березовский</w:t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both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both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both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both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both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both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left"/>
      </w:pPr>
      <w:r>
        <w:rPr>
          <w:szCs w:val="28"/>
          <w:highlight w:val="none"/>
        </w:rPr>
      </w:r>
      <w:r>
        <w:rPr>
          <w:szCs w:val="28"/>
          <w:highlight w:val="none"/>
        </w:rPr>
      </w:r>
      <w:r/>
    </w:p>
    <w:p>
      <w:pPr>
        <w:jc w:val="left"/>
        <w:rPr>
          <w:highlight w:val="none"/>
        </w:rPr>
      </w:pPr>
      <w:r>
        <w:rPr>
          <w:szCs w:val="28"/>
        </w:rPr>
        <w:t xml:space="preserve">                                                                                                           Приложение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highlight w:val="none"/>
        </w:rPr>
      </w:r>
    </w:p>
    <w:p>
      <w:pPr>
        <w:jc w:val="right"/>
        <w:rPr>
          <w:szCs w:val="28"/>
        </w:rPr>
      </w:pPr>
      <w:r>
        <w:rPr>
          <w:szCs w:val="28"/>
        </w:rPr>
        <w:t xml:space="preserve">к приказу Региональной службы</w:t>
      </w:r>
      <w:r>
        <w:rPr>
          <w:szCs w:val="28"/>
        </w:rPr>
      </w:r>
    </w:p>
    <w:p>
      <w:pPr>
        <w:jc w:val="right"/>
        <w:rPr>
          <w:szCs w:val="28"/>
        </w:rPr>
      </w:pPr>
      <w:r>
        <w:rPr>
          <w:szCs w:val="28"/>
        </w:rPr>
        <w:t xml:space="preserve"> по тарифам</w:t>
      </w:r>
      <w:r>
        <w:rPr>
          <w:szCs w:val="28"/>
        </w:rPr>
        <w:t xml:space="preserve"> Ханты-Мансийского</w:t>
      </w:r>
      <w:r>
        <w:rPr>
          <w:szCs w:val="28"/>
        </w:rPr>
      </w:r>
    </w:p>
    <w:p>
      <w:pPr>
        <w:jc w:val="right"/>
        <w:rPr>
          <w:szCs w:val="28"/>
        </w:rPr>
      </w:pPr>
      <w:r>
        <w:rPr>
          <w:szCs w:val="28"/>
        </w:rPr>
        <w:t xml:space="preserve"> автономного округа</w:t>
      </w:r>
      <w:r>
        <w:rPr>
          <w:szCs w:val="28"/>
        </w:rPr>
        <w:t xml:space="preserve"> – Югры </w:t>
      </w:r>
      <w:r>
        <w:rPr>
          <w:szCs w:val="28"/>
        </w:rPr>
      </w:r>
    </w:p>
    <w:p>
      <w:pPr>
        <w:jc w:val="right"/>
        <w:rPr>
          <w:szCs w:val="28"/>
        </w:rPr>
      </w:pPr>
      <w:r>
        <w:rPr>
          <w:szCs w:val="28"/>
        </w:rPr>
        <w:t xml:space="preserve">от</w:t>
      </w:r>
      <w:r>
        <w:rPr>
          <w:szCs w:val="28"/>
        </w:rPr>
        <w:t xml:space="preserve"> </w:t>
      </w:r>
      <w:r>
        <w:rPr>
          <w:szCs w:val="28"/>
        </w:rPr>
        <w:t xml:space="preserve">23 апреля 20</w:t>
      </w:r>
      <w:r>
        <w:rPr>
          <w:szCs w:val="28"/>
        </w:rPr>
        <w:t xml:space="preserve">2</w:t>
      </w:r>
      <w:r>
        <w:rPr>
          <w:szCs w:val="28"/>
        </w:rPr>
        <w:t xml:space="preserve">4</w:t>
      </w:r>
      <w:r>
        <w:rPr>
          <w:szCs w:val="28"/>
        </w:rPr>
        <w:t xml:space="preserve"> года №</w:t>
      </w:r>
      <w:r>
        <w:rPr>
          <w:szCs w:val="28"/>
        </w:rPr>
        <w:t xml:space="preserve"> </w:t>
      </w:r>
      <w:r>
        <w:rPr>
          <w:szCs w:val="28"/>
        </w:rPr>
        <w:t xml:space="preserve">29-</w:t>
      </w:r>
      <w:r>
        <w:rPr>
          <w:szCs w:val="28"/>
        </w:rPr>
        <w:t xml:space="preserve">нп</w:t>
      </w:r>
      <w:r>
        <w:rPr>
          <w:szCs w:val="28"/>
        </w:rPr>
      </w:r>
    </w:p>
    <w:p>
      <w:pPr>
        <w:jc w:val="right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jc w:val="center"/>
        <w:rPr>
          <w:szCs w:val="28"/>
        </w:rPr>
      </w:pPr>
      <w:r>
        <w:rPr>
          <w:szCs w:val="28"/>
        </w:rPr>
        <w:t xml:space="preserve">Фиксированные тарифы на субсидируемые перевозки пассажиров и багажа речным транспортом по маршрутам </w:t>
      </w:r>
      <w:r>
        <w:rPr>
          <w:szCs w:val="28"/>
        </w:rPr>
        <w:t xml:space="preserve">Кондинского</w:t>
      </w:r>
      <w:r>
        <w:rPr>
          <w:szCs w:val="28"/>
        </w:rPr>
        <w:t xml:space="preserve"> района, осуществляемые акционерным обществом «</w:t>
      </w:r>
      <w:r>
        <w:rPr>
          <w:szCs w:val="28"/>
        </w:rPr>
        <w:t xml:space="preserve">Сев</w:t>
      </w:r>
      <w:r>
        <w:rPr>
          <w:szCs w:val="28"/>
        </w:rPr>
        <w:t xml:space="preserve">ерречфлот</w:t>
      </w:r>
      <w:r>
        <w:rPr>
          <w:szCs w:val="28"/>
        </w:rPr>
        <w:t xml:space="preserve">»</w:t>
      </w:r>
      <w:r>
        <w:rPr>
          <w:szCs w:val="28"/>
        </w:rPr>
      </w:r>
    </w:p>
    <w:p>
      <w:pPr>
        <w:jc w:val="left"/>
      </w:pPr>
      <w:r>
        <w:rPr>
          <w:szCs w:val="28"/>
        </w:rPr>
      </w:r>
      <w:r/>
    </w:p>
    <w:tbl>
      <w:tblPr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0"/>
        <w:gridCol w:w="3936"/>
        <w:gridCol w:w="2172"/>
        <w:gridCol w:w="2172"/>
      </w:tblGrid>
      <w:tr>
        <w:tblPrEx/>
        <w:trPr>
          <w:jc w:val="center"/>
          <w:trHeight w:val="253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п/п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маршрута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Фиксированны</w:t>
            </w:r>
            <w:r>
              <w:rPr>
                <w:color w:val="000000"/>
                <w:szCs w:val="28"/>
              </w:rPr>
              <w:t xml:space="preserve">й</w:t>
            </w:r>
            <w:r>
              <w:rPr>
                <w:color w:val="000000"/>
                <w:szCs w:val="28"/>
              </w:rPr>
              <w:t xml:space="preserve"> тариф на перевозки</w:t>
            </w:r>
            <w:r>
              <w:rPr>
                <w:color w:val="000000"/>
                <w:szCs w:val="28"/>
              </w:rPr>
              <w:t xml:space="preserve"> пассажиров в рублях</w:t>
            </w:r>
            <w:r>
              <w:rPr>
                <w:color w:val="000000"/>
                <w:szCs w:val="28"/>
              </w:rPr>
              <w:t xml:space="preserve"> (с НДС)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17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Фиксированный тариф на перевозку 1 кг багажа (сверх установленной нормы) в рублях (с НДС)</w:t>
            </w:r>
            <w:r>
              <w:rPr>
                <w:color w:val="000000"/>
                <w:szCs w:val="28"/>
              </w:rPr>
            </w:r>
          </w:p>
        </w:tc>
      </w:tr>
      <w:tr>
        <w:tblPrEx/>
        <w:trPr>
          <w:jc w:val="center"/>
          <w:trHeight w:val="474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264,00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3,17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264,00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3,17</w:t>
            </w:r>
            <w:r/>
          </w:p>
        </w:tc>
      </w:tr>
      <w:tr>
        <w:tblPrEx/>
        <w:trPr>
          <w:jc w:val="center"/>
          <w:trHeight w:val="458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– Старый Катыш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453,00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5,44</w:t>
            </w:r>
            <w:r/>
          </w:p>
        </w:tc>
      </w:tr>
      <w:tr>
        <w:tblPrEx/>
        <w:trPr>
          <w:jc w:val="center"/>
          <w:trHeight w:val="415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</w:t>
            </w: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453,00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5,44</w:t>
            </w:r>
            <w:r/>
          </w:p>
        </w:tc>
      </w:tr>
      <w:tr>
        <w:tblPrEx/>
        <w:trPr>
          <w:jc w:val="center"/>
          <w:trHeight w:val="415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– Вар Бор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597,00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7,16</w:t>
            </w:r>
            <w:r/>
          </w:p>
        </w:tc>
      </w:tr>
      <w:tr>
        <w:tblPrEx/>
        <w:trPr>
          <w:jc w:val="center"/>
          <w:trHeight w:val="415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</w:t>
            </w: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597,00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7,16</w:t>
            </w:r>
            <w:r/>
          </w:p>
        </w:tc>
      </w:tr>
      <w:tr>
        <w:tblPrEx/>
        <w:trPr>
          <w:jc w:val="center"/>
          <w:trHeight w:val="415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806,00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9,67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806,00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9,67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– Ямки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944,00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11,33</w:t>
            </w:r>
            <w:r/>
          </w:p>
        </w:tc>
      </w:tr>
      <w:tr>
        <w:tblPrEx/>
        <w:trPr>
          <w:jc w:val="center"/>
          <w:trHeight w:val="403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10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</w:t>
            </w: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944,00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11,33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– Сотник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1002,00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12,02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12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</w:t>
            </w: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1002,00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12,02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13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– Междуреченский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1248,00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14,98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14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Междуреченский – </w:t>
            </w:r>
            <w:r>
              <w:rPr>
                <w:color w:val="000000"/>
                <w:szCs w:val="28"/>
              </w:rPr>
              <w:t xml:space="preserve">Кондинское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1248,00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14,98</w:t>
            </w:r>
            <w:r/>
          </w:p>
        </w:tc>
      </w:tr>
      <w:tr>
        <w:tblPrEx/>
        <w:trPr>
          <w:jc w:val="center"/>
          <w:trHeight w:val="500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15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– Старый Катыш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184,00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2,21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16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</w:t>
            </w: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184,00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2,21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17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– Вар Бор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330,00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3,96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18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</w:t>
            </w: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330,00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3,96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541,00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6,49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541,00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6,49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Borders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21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– Ямки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677,00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8,12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22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</w:t>
            </w: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677,00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8,12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23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– Сотник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733,00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8,80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24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</w:t>
            </w: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733,00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8,80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25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– Междуреченский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980,00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11,76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26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Междуреченский – </w:t>
            </w:r>
            <w:r>
              <w:rPr>
                <w:color w:val="000000"/>
                <w:szCs w:val="28"/>
              </w:rPr>
              <w:t xml:space="preserve">Никулкина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980,00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11,76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27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Вар Бор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143,00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1,72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28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Старый Катыш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143,00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1,72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29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</w:t>
            </w: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351,00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4,21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30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– Старый Катыш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351,00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4,21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31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Ямки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490,00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5,88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32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Старый Катыш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490,00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5,88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33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Сотник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549,00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6,59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34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Старый Катыш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549,00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6,59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35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Старый Катыш – Междуреченский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793,00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9,52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36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Междуреченский – Старый Катыш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793,00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9,52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37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</w:t>
            </w: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208,00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2,50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38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– Вар Бор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208,00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2,50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39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Ямки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345,00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4,14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40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Вар Бор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345,00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4,14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41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Сотник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404,00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4,85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42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Вар Бор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404,00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4,85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43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Вар Бор – Междуреченский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647,00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7,76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44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Междуреченский – Вар Бор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647,00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7,76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45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– Ямки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136,00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1,63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46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</w:t>
            </w: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136,00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1,63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47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– Сотник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193,00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2,32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48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</w:t>
            </w: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193,00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2,32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49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– Междуреченский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439,00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5,27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50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Междуреченский – </w:t>
            </w:r>
            <w:r>
              <w:rPr>
                <w:color w:val="000000"/>
                <w:szCs w:val="28"/>
              </w:rPr>
              <w:t xml:space="preserve">Юмас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439,00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5,27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51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Сотник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0,68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52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Ямки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57,00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0,68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53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Ямки – Междуреченский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303,00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3,64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54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Междуреченский – Ямки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303,00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3,64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Borders>
              <w:bottom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55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Сотник – Междуреченский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243,00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2,92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Borders>
              <w:top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56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Междуреченский – Сотник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243,00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2,92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57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Междуреченский – Луговой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172,00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2,06</w:t>
            </w:r>
            <w:r/>
          </w:p>
        </w:tc>
      </w:tr>
      <w:tr>
        <w:tblPrEx/>
        <w:trPr>
          <w:jc w:val="center"/>
          <w:trHeight w:val="372"/>
        </w:trPr>
        <w:tc>
          <w:tcPr>
            <w:shd w:val="clear" w:color="auto" w:fill="auto"/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58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Луговой – Междуреченский </w:t>
            </w:r>
            <w:r>
              <w:rPr>
                <w:color w:val="000000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172,00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72" w:type="dxa"/>
            <w:textDirection w:val="lrTb"/>
            <w:noWrap w:val="false"/>
          </w:tcPr>
          <w:p>
            <w:pPr>
              <w:jc w:val="center"/>
            </w:pPr>
            <w:r>
              <w:t xml:space="preserve">2,06</w:t>
            </w:r>
            <w:r/>
          </w:p>
        </w:tc>
      </w:tr>
    </w:tbl>
    <w:p>
      <w:pPr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rPr>
        <w:rStyle w:val="895"/>
      </w:rPr>
      <w:framePr w:wrap="around" w:vAnchor="text" w:hAnchor="margin" w:xAlign="right" w:y="1"/>
    </w:pPr>
    <w:r>
      <w:rPr>
        <w:rStyle w:val="895"/>
      </w:rPr>
      <w:fldChar w:fldCharType="begin"/>
    </w:r>
    <w:r>
      <w:rPr>
        <w:rStyle w:val="895"/>
      </w:rPr>
      <w:instrText xml:space="preserve">PAGE  </w:instrText>
    </w:r>
    <w:r>
      <w:rPr>
        <w:rStyle w:val="895"/>
      </w:rPr>
      <w:fldChar w:fldCharType="end"/>
    </w:r>
    <w:r>
      <w:rPr>
        <w:rStyle w:val="895"/>
      </w:rPr>
    </w:r>
  </w:p>
  <w:p>
    <w:pPr>
      <w:pStyle w:val="89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rPr>
        <w:rStyle w:val="895"/>
      </w:rPr>
      <w:framePr w:wrap="around" w:vAnchor="text" w:hAnchor="margin" w:xAlign="center" w:y="1"/>
    </w:pPr>
    <w:r>
      <w:rPr>
        <w:rStyle w:val="895"/>
      </w:rPr>
      <w:fldChar w:fldCharType="begin"/>
    </w:r>
    <w:r>
      <w:rPr>
        <w:rStyle w:val="895"/>
      </w:rPr>
      <w:instrText xml:space="preserve">PAGE  </w:instrText>
    </w:r>
    <w:r>
      <w:rPr>
        <w:rStyle w:val="895"/>
      </w:rPr>
      <w:fldChar w:fldCharType="separate"/>
    </w:r>
    <w:r>
      <w:rPr>
        <w:rStyle w:val="895"/>
      </w:rPr>
      <w:t xml:space="preserve">4</w:t>
    </w:r>
    <w:r>
      <w:rPr>
        <w:rStyle w:val="895"/>
      </w:rPr>
      <w:fldChar w:fldCharType="end"/>
    </w:r>
    <w:r>
      <w:rPr>
        <w:rStyle w:val="895"/>
      </w:rPr>
    </w:r>
  </w:p>
  <w:p>
    <w:pPr>
      <w:pStyle w:val="8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rPr>
        <w:rStyle w:val="895"/>
      </w:rPr>
      <w:framePr w:wrap="around" w:vAnchor="text" w:hAnchor="margin" w:xAlign="center" w:y="1"/>
    </w:pPr>
    <w:r>
      <w:rPr>
        <w:rStyle w:val="895"/>
      </w:rPr>
      <w:fldChar w:fldCharType="begin"/>
    </w:r>
    <w:r>
      <w:rPr>
        <w:rStyle w:val="895"/>
      </w:rPr>
      <w:instrText xml:space="preserve">PAGE  </w:instrText>
    </w:r>
    <w:r>
      <w:rPr>
        <w:rStyle w:val="895"/>
      </w:rPr>
      <w:fldChar w:fldCharType="end"/>
    </w:r>
    <w:r>
      <w:rPr>
        <w:rStyle w:val="895"/>
      </w:rPr>
    </w:r>
  </w:p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both"/>
      <w:tabs>
        <w:tab w:val="left" w:pos="2880" w:leader="none"/>
      </w:tabs>
      <w:rPr>
        <w:highlight w:val="none"/>
      </w:rPr>
    </w:pPr>
    <w:r>
      <w:rPr>
        <w:highlight w:val="none"/>
      </w:rPr>
    </w:r>
    <w:r>
      <w:rPr>
        <w:sz w:val="22"/>
        <w:szCs w:val="22"/>
      </w:rPr>
      <w:t xml:space="preserve">Внесен в государственный реестр нормативных правовых актов исполнительных органов  Ханты-Мансийского автономного округа – Югры за № </w:t>
    </w:r>
    <w:r>
      <w:rPr>
        <w:sz w:val="22"/>
        <w:szCs w:val="22"/>
      </w:rPr>
      <w:t xml:space="preserve">7522 от </w:t>
    </w:r>
    <w:r>
      <w:rPr>
        <w:sz w:val="22"/>
        <w:szCs w:val="22"/>
      </w:rPr>
      <w:t xml:space="preserve">27 апреля 2024</w:t>
    </w:r>
    <w:r>
      <w:rPr>
        <w:sz w:val="22"/>
        <w:szCs w:val="22"/>
      </w:rPr>
      <w:t xml:space="preserve"> года</w:t>
    </w:r>
    <w:r>
      <w:rPr>
        <w:highlight w:val="none"/>
      </w:rPr>
    </w:r>
    <w:r>
      <w:rPr>
        <w:highlight w:val="none"/>
      </w:rPr>
    </w:r>
  </w:p>
  <w:p>
    <w:pPr>
      <w:pStyle w:val="89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9"/>
    <w:next w:val="889"/>
    <w:link w:val="71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5">
    <w:name w:val="Heading 1 Char"/>
    <w:basedOn w:val="890"/>
    <w:link w:val="714"/>
    <w:uiPriority w:val="9"/>
    <w:rPr>
      <w:rFonts w:ascii="Arial" w:hAnsi="Arial" w:eastAsia="Arial" w:cs="Arial"/>
      <w:sz w:val="40"/>
      <w:szCs w:val="40"/>
    </w:rPr>
  </w:style>
  <w:style w:type="paragraph" w:styleId="716">
    <w:name w:val="Heading 2"/>
    <w:basedOn w:val="889"/>
    <w:next w:val="889"/>
    <w:link w:val="7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7">
    <w:name w:val="Heading 2 Char"/>
    <w:basedOn w:val="890"/>
    <w:link w:val="716"/>
    <w:uiPriority w:val="9"/>
    <w:rPr>
      <w:rFonts w:ascii="Arial" w:hAnsi="Arial" w:eastAsia="Arial" w:cs="Arial"/>
      <w:sz w:val="34"/>
    </w:rPr>
  </w:style>
  <w:style w:type="paragraph" w:styleId="718">
    <w:name w:val="Heading 3"/>
    <w:basedOn w:val="889"/>
    <w:next w:val="889"/>
    <w:link w:val="7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9">
    <w:name w:val="Heading 3 Char"/>
    <w:basedOn w:val="890"/>
    <w:link w:val="718"/>
    <w:uiPriority w:val="9"/>
    <w:rPr>
      <w:rFonts w:ascii="Arial" w:hAnsi="Arial" w:eastAsia="Arial" w:cs="Arial"/>
      <w:sz w:val="30"/>
      <w:szCs w:val="30"/>
    </w:rPr>
  </w:style>
  <w:style w:type="paragraph" w:styleId="720">
    <w:name w:val="Heading 4"/>
    <w:basedOn w:val="889"/>
    <w:next w:val="889"/>
    <w:link w:val="7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1">
    <w:name w:val="Heading 4 Char"/>
    <w:basedOn w:val="890"/>
    <w:link w:val="720"/>
    <w:uiPriority w:val="9"/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889"/>
    <w:next w:val="889"/>
    <w:link w:val="7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3">
    <w:name w:val="Heading 5 Char"/>
    <w:basedOn w:val="890"/>
    <w:link w:val="722"/>
    <w:uiPriority w:val="9"/>
    <w:rPr>
      <w:rFonts w:ascii="Arial" w:hAnsi="Arial" w:eastAsia="Arial" w:cs="Arial"/>
      <w:b/>
      <w:bCs/>
      <w:sz w:val="24"/>
      <w:szCs w:val="24"/>
    </w:rPr>
  </w:style>
  <w:style w:type="paragraph" w:styleId="724">
    <w:name w:val="Heading 6"/>
    <w:basedOn w:val="889"/>
    <w:next w:val="889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5">
    <w:name w:val="Heading 6 Char"/>
    <w:basedOn w:val="890"/>
    <w:link w:val="724"/>
    <w:uiPriority w:val="9"/>
    <w:rPr>
      <w:rFonts w:ascii="Arial" w:hAnsi="Arial" w:eastAsia="Arial" w:cs="Arial"/>
      <w:b/>
      <w:bCs/>
      <w:sz w:val="22"/>
      <w:szCs w:val="22"/>
    </w:rPr>
  </w:style>
  <w:style w:type="paragraph" w:styleId="726">
    <w:name w:val="Heading 7"/>
    <w:basedOn w:val="889"/>
    <w:next w:val="889"/>
    <w:link w:val="7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7">
    <w:name w:val="Heading 7 Char"/>
    <w:basedOn w:val="890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8">
    <w:name w:val="Heading 8"/>
    <w:basedOn w:val="889"/>
    <w:next w:val="889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9">
    <w:name w:val="Heading 8 Char"/>
    <w:basedOn w:val="890"/>
    <w:link w:val="728"/>
    <w:uiPriority w:val="9"/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889"/>
    <w:next w:val="889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>
    <w:name w:val="Heading 9 Char"/>
    <w:basedOn w:val="890"/>
    <w:link w:val="730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List Paragraph"/>
    <w:basedOn w:val="889"/>
    <w:uiPriority w:val="34"/>
    <w:qFormat/>
    <w:pPr>
      <w:contextualSpacing/>
      <w:ind w:left="720"/>
    </w:pPr>
  </w:style>
  <w:style w:type="paragraph" w:styleId="733">
    <w:name w:val="No Spacing"/>
    <w:uiPriority w:val="1"/>
    <w:qFormat/>
    <w:pPr>
      <w:spacing w:before="0" w:after="0" w:line="240" w:lineRule="auto"/>
    </w:pPr>
  </w:style>
  <w:style w:type="paragraph" w:styleId="734">
    <w:name w:val="Title"/>
    <w:basedOn w:val="889"/>
    <w:next w:val="889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basedOn w:val="890"/>
    <w:link w:val="734"/>
    <w:uiPriority w:val="10"/>
    <w:rPr>
      <w:sz w:val="48"/>
      <w:szCs w:val="48"/>
    </w:rPr>
  </w:style>
  <w:style w:type="paragraph" w:styleId="736">
    <w:name w:val="Subtitle"/>
    <w:basedOn w:val="889"/>
    <w:next w:val="889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90"/>
    <w:link w:val="736"/>
    <w:uiPriority w:val="11"/>
    <w:rPr>
      <w:sz w:val="24"/>
      <w:szCs w:val="24"/>
    </w:rPr>
  </w:style>
  <w:style w:type="paragraph" w:styleId="738">
    <w:name w:val="Quote"/>
    <w:basedOn w:val="889"/>
    <w:next w:val="889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9"/>
    <w:next w:val="889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90"/>
    <w:link w:val="896"/>
    <w:uiPriority w:val="99"/>
  </w:style>
  <w:style w:type="character" w:styleId="743">
    <w:name w:val="Footer Char"/>
    <w:basedOn w:val="890"/>
    <w:link w:val="894"/>
    <w:uiPriority w:val="99"/>
  </w:style>
  <w:style w:type="paragraph" w:styleId="744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894"/>
    <w:uiPriority w:val="99"/>
  </w:style>
  <w:style w:type="table" w:styleId="746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5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7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9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0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7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8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9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0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1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2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9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0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1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2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3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4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5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7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8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0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2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3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4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5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6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7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8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9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0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2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3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4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5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6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7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9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0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1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2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3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4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5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6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7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8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9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0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1">
    <w:name w:val="Hyperlink"/>
    <w:uiPriority w:val="99"/>
    <w:unhideWhenUsed/>
    <w:rPr>
      <w:color w:val="0000ff" w:themeColor="hyperlink"/>
      <w:u w:val="single"/>
    </w:rPr>
  </w:style>
  <w:style w:type="paragraph" w:styleId="872">
    <w:name w:val="footnote text"/>
    <w:basedOn w:val="889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>
    <w:name w:val="Footnote Text Char"/>
    <w:link w:val="872"/>
    <w:uiPriority w:val="99"/>
    <w:rPr>
      <w:sz w:val="18"/>
    </w:rPr>
  </w:style>
  <w:style w:type="character" w:styleId="874">
    <w:name w:val="footnote reference"/>
    <w:basedOn w:val="890"/>
    <w:uiPriority w:val="99"/>
    <w:unhideWhenUsed/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0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  <w:rPr>
      <w:sz w:val="28"/>
    </w:rPr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Body Text 3"/>
    <w:basedOn w:val="889"/>
    <w:pPr>
      <w:jc w:val="center"/>
    </w:pPr>
    <w:rPr>
      <w:b/>
      <w:bCs/>
    </w:rPr>
  </w:style>
  <w:style w:type="paragraph" w:styleId="894">
    <w:name w:val="Footer"/>
    <w:basedOn w:val="889"/>
    <w:pPr>
      <w:tabs>
        <w:tab w:val="center" w:pos="4677" w:leader="none"/>
        <w:tab w:val="right" w:pos="9355" w:leader="none"/>
      </w:tabs>
    </w:pPr>
  </w:style>
  <w:style w:type="character" w:styleId="895">
    <w:name w:val="page number"/>
    <w:basedOn w:val="890"/>
  </w:style>
  <w:style w:type="paragraph" w:styleId="896">
    <w:name w:val="Header"/>
    <w:basedOn w:val="889"/>
    <w:pPr>
      <w:tabs>
        <w:tab w:val="center" w:pos="4677" w:leader="none"/>
        <w:tab w:val="right" w:pos="9355" w:leader="none"/>
      </w:tabs>
    </w:pPr>
  </w:style>
  <w:style w:type="table" w:styleId="897">
    <w:name w:val="Table Grid"/>
    <w:basedOn w:val="89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8" w:customStyle="1">
    <w:name w:val="Знак"/>
    <w:basedOn w:val="88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899">
    <w:name w:val="Balloon Text"/>
    <w:basedOn w:val="889"/>
    <w:link w:val="900"/>
    <w:rPr>
      <w:rFonts w:ascii="Tahoma" w:hAnsi="Tahoma"/>
      <w:sz w:val="16"/>
      <w:szCs w:val="16"/>
    </w:rPr>
  </w:style>
  <w:style w:type="character" w:styleId="900" w:customStyle="1">
    <w:name w:val="Текст выноски Знак"/>
    <w:link w:val="89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DerevyankinaSV</dc:creator>
  <cp:keywords/>
  <cp:revision>35</cp:revision>
  <dcterms:created xsi:type="dcterms:W3CDTF">2019-04-24T08:58:00Z</dcterms:created>
  <dcterms:modified xsi:type="dcterms:W3CDTF">2024-05-02T04:51:16Z</dcterms:modified>
</cp:coreProperties>
</file>