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7D1C26">
        <w:rPr>
          <w:rFonts w:ascii="Times New Roman" w:hAnsi="Times New Roman" w:cs="Times New Roman"/>
          <w:sz w:val="26"/>
          <w:szCs w:val="26"/>
        </w:rPr>
        <w:t>15</w:t>
      </w:r>
      <w:r w:rsidR="005E3D4C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D4C">
        <w:rPr>
          <w:rFonts w:ascii="Times New Roman" w:hAnsi="Times New Roman" w:cs="Times New Roman"/>
          <w:sz w:val="26"/>
          <w:szCs w:val="26"/>
        </w:rPr>
        <w:t>2020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0DA">
        <w:rPr>
          <w:rFonts w:ascii="Times New Roman" w:hAnsi="Times New Roman" w:cs="Times New Roman"/>
          <w:sz w:val="26"/>
          <w:szCs w:val="26"/>
        </w:rPr>
        <w:t xml:space="preserve">        </w:t>
      </w:r>
      <w:r w:rsidR="007D1C26">
        <w:rPr>
          <w:rFonts w:ascii="Times New Roman" w:hAnsi="Times New Roman" w:cs="Times New Roman"/>
          <w:sz w:val="26"/>
          <w:szCs w:val="26"/>
        </w:rPr>
        <w:t xml:space="preserve">  </w:t>
      </w:r>
      <w:r w:rsidR="000050DA"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7F02AC">
        <w:rPr>
          <w:rFonts w:ascii="Times New Roman" w:hAnsi="Times New Roman" w:cs="Times New Roman"/>
          <w:sz w:val="26"/>
          <w:szCs w:val="26"/>
        </w:rPr>
        <w:t>80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="00F44E33">
        <w:rPr>
          <w:rFonts w:ascii="Times New Roman" w:hAnsi="Times New Roman" w:cs="Times New Roman"/>
          <w:sz w:val="26"/>
          <w:szCs w:val="26"/>
        </w:rPr>
        <w:t xml:space="preserve">от 06 октября 2003 года </w:t>
      </w:r>
      <w:r w:rsidRPr="00B3064F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81876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1876">
        <w:rPr>
          <w:rFonts w:ascii="Times New Roman" w:hAnsi="Times New Roman" w:cs="Times New Roman"/>
          <w:sz w:val="26"/>
          <w:szCs w:val="26"/>
        </w:rPr>
        <w:t xml:space="preserve">сельского поселения Леуши от 25 сентября </w:t>
      </w:r>
      <w:r w:rsidR="00284B9A">
        <w:rPr>
          <w:rFonts w:ascii="Times New Roman" w:hAnsi="Times New Roman" w:cs="Times New Roman"/>
          <w:sz w:val="26"/>
          <w:szCs w:val="26"/>
        </w:rPr>
        <w:t>2018</w:t>
      </w:r>
      <w:r w:rsidR="00A81876">
        <w:rPr>
          <w:rFonts w:ascii="Times New Roman" w:hAnsi="Times New Roman" w:cs="Times New Roman"/>
          <w:sz w:val="26"/>
          <w:szCs w:val="26"/>
        </w:rPr>
        <w:t xml:space="preserve"> года</w:t>
      </w:r>
      <w:r w:rsidR="00284B9A">
        <w:rPr>
          <w:rFonts w:ascii="Times New Roman" w:hAnsi="Times New Roman" w:cs="Times New Roman"/>
          <w:sz w:val="26"/>
          <w:szCs w:val="26"/>
        </w:rPr>
        <w:t xml:space="preserve"> № 301</w:t>
      </w:r>
      <w:r w:rsidR="00A8187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4B9A">
        <w:rPr>
          <w:rFonts w:ascii="Times New Roman" w:hAnsi="Times New Roman" w:cs="Times New Roman"/>
          <w:sz w:val="26"/>
          <w:szCs w:val="26"/>
        </w:rPr>
        <w:t xml:space="preserve">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A81876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1876">
        <w:rPr>
          <w:rFonts w:ascii="Times New Roman" w:hAnsi="Times New Roman" w:cs="Times New Roman"/>
          <w:sz w:val="26"/>
          <w:szCs w:val="26"/>
        </w:rPr>
        <w:t xml:space="preserve"> Организационному отделу администрации сельского поселения Леуши о</w:t>
      </w:r>
      <w:r w:rsidR="00B3064F" w:rsidRPr="00B3064F">
        <w:rPr>
          <w:rFonts w:ascii="Times New Roman" w:hAnsi="Times New Roman" w:cs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A81876">
        <w:rPr>
          <w:rFonts w:ascii="Times New Roman" w:hAnsi="Times New Roman" w:cs="Times New Roman"/>
          <w:sz w:val="26"/>
          <w:szCs w:val="26"/>
        </w:rPr>
        <w:t>Кондинского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81876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81876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818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</w:t>
      </w:r>
      <w:r w:rsidR="00A8187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81876">
        <w:rPr>
          <w:rFonts w:ascii="Times New Roman" w:hAnsi="Times New Roman" w:cs="Times New Roman"/>
          <w:sz w:val="26"/>
          <w:szCs w:val="26"/>
        </w:rPr>
        <w:t xml:space="preserve"> вы</w:t>
      </w:r>
      <w:r w:rsidR="00B3064F" w:rsidRPr="00B3064F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1C26" w:rsidRDefault="007D1C26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Pr="00B3064F" w:rsidRDefault="007D1C26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15.06.2020</w:t>
      </w:r>
      <w:r w:rsidR="005E3D4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Леуши, 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A81876" w:rsidRDefault="00A81876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5E3D4C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A818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предоставляемых для участия в открытом конкурсе по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отбор</w:t>
            </w:r>
            <w:r w:rsidR="00A8187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A81876">
      <w:pPr>
        <w:pStyle w:val="24"/>
        <w:tabs>
          <w:tab w:val="clear" w:pos="576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A81876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B4700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спортивных и игровых площадок на территории </w:t>
      </w:r>
      <w:proofErr w:type="spell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C22ADF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</w:t>
      </w:r>
      <w:r w:rsidR="00A5377B">
        <w:rPr>
          <w:rFonts w:ascii="Times New Roman" w:hAnsi="Times New Roman" w:cs="Times New Roman"/>
          <w:b w:val="0"/>
          <w:i/>
          <w:sz w:val="24"/>
          <w:szCs w:val="24"/>
        </w:rPr>
        <w:t xml:space="preserve"> для жизни населения</w:t>
      </w:r>
      <w:r w:rsidR="00264FD1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337A6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Ликвидация ветхих бесхозных строений угрожающих жизни и здоровью граждан;</w:t>
      </w:r>
    </w:p>
    <w:p w:rsidR="00337A6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Ликвидация несанкционированных свалок;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</w:t>
      </w:r>
      <w:r w:rsidR="00A8187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62357" w:rsidRPr="00A6174D">
        <w:rPr>
          <w:rFonts w:ascii="Times New Roman" w:hAnsi="Times New Roman" w:cs="Times New Roman"/>
          <w:sz w:val="24"/>
          <w:szCs w:val="24"/>
        </w:rPr>
        <w:t>2018</w:t>
      </w:r>
      <w:r w:rsidR="00A81876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662357" w:rsidRPr="00A6174D">
        <w:rPr>
          <w:rFonts w:ascii="Times New Roman" w:hAnsi="Times New Roman" w:cs="Times New Roman"/>
          <w:sz w:val="24"/>
          <w:szCs w:val="24"/>
        </w:rPr>
        <w:t xml:space="preserve">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</w:t>
      </w:r>
      <w:r w:rsidR="00A81876">
        <w:rPr>
          <w:rFonts w:ascii="Times New Roman" w:hAnsi="Times New Roman" w:cs="Times New Roman"/>
          <w:b w:val="0"/>
          <w:sz w:val="24"/>
          <w:szCs w:val="24"/>
        </w:rPr>
        <w:t xml:space="preserve"> сентября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2018</w:t>
      </w:r>
      <w:r w:rsidR="00A81876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A81876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76">
        <w:rPr>
          <w:rFonts w:ascii="Times New Roman" w:hAnsi="Times New Roman" w:cs="Times New Roman"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2.1.4</w:t>
      </w:r>
      <w:r w:rsidR="00A81876">
        <w:rPr>
          <w:rFonts w:ascii="Times New Roman" w:hAnsi="Times New Roman" w:cs="Times New Roman"/>
          <w:sz w:val="24"/>
          <w:szCs w:val="24"/>
        </w:rPr>
        <w:t>.</w:t>
      </w:r>
      <w:r w:rsidRPr="0023239D">
        <w:rPr>
          <w:rFonts w:ascii="Times New Roman" w:hAnsi="Times New Roman" w:cs="Times New Roman"/>
          <w:sz w:val="24"/>
          <w:szCs w:val="24"/>
        </w:rPr>
        <w:t xml:space="preserve">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5E3D4C">
        <w:rPr>
          <w:rFonts w:ascii="Times New Roman" w:hAnsi="Times New Roman" w:cs="Times New Roman"/>
          <w:iCs/>
          <w:sz w:val="24"/>
          <w:szCs w:val="24"/>
        </w:rPr>
        <w:t xml:space="preserve"> заявок: 15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D4C">
        <w:rPr>
          <w:rFonts w:ascii="Times New Roman" w:hAnsi="Times New Roman" w:cs="Times New Roman"/>
          <w:bCs/>
          <w:sz w:val="24"/>
          <w:szCs w:val="24"/>
        </w:rPr>
        <w:t xml:space="preserve"> июня  2020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5E3D4C">
        <w:rPr>
          <w:rFonts w:ascii="Times New Roman" w:hAnsi="Times New Roman" w:cs="Times New Roman"/>
          <w:iCs/>
          <w:sz w:val="24"/>
          <w:szCs w:val="24"/>
        </w:rPr>
        <w:t>и заявок: В 17 часов 00 минут 14</w:t>
      </w:r>
      <w:r w:rsidR="005E3D4C">
        <w:rPr>
          <w:rFonts w:ascii="Times New Roman" w:hAnsi="Times New Roman" w:cs="Times New Roman"/>
          <w:sz w:val="24"/>
          <w:szCs w:val="24"/>
        </w:rPr>
        <w:t xml:space="preserve"> июля  2020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D53A32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53A32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81876" w:rsidRDefault="00B3064F" w:rsidP="00A81876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1876">
        <w:rPr>
          <w:rFonts w:ascii="Times New Roman" w:hAnsi="Times New Roman"/>
          <w:bCs/>
          <w:sz w:val="24"/>
          <w:szCs w:val="24"/>
        </w:rPr>
        <w:lastRenderedPageBreak/>
        <w:t>Требования к содержанию, форме, оформлению и составу</w:t>
      </w:r>
    </w:p>
    <w:p w:rsidR="00B3064F" w:rsidRPr="00A8187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A81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A81876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87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A81876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81876">
        <w:rPr>
          <w:rFonts w:ascii="Times New Roman" w:hAnsi="Times New Roman" w:cs="Times New Roman"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A8187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A81876">
        <w:rPr>
          <w:rFonts w:ascii="Times New Roman" w:hAnsi="Times New Roman" w:cs="Times New Roman"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</w:t>
      </w:r>
      <w:r w:rsidR="00A8187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5E3D4C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6.2.1. 15</w:t>
      </w:r>
      <w:r w:rsidR="00A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5E3D4C">
        <w:rPr>
          <w:rFonts w:ascii="Times New Roman" w:hAnsi="Times New Roman" w:cs="Times New Roman"/>
          <w:sz w:val="24"/>
          <w:szCs w:val="24"/>
        </w:rPr>
        <w:t>стие в отборе:               15 июля 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5E3D4C">
        <w:rPr>
          <w:rFonts w:ascii="Times New Roman" w:hAnsi="Times New Roman" w:cs="Times New Roman"/>
          <w:sz w:val="24"/>
          <w:szCs w:val="24"/>
        </w:rPr>
        <w:t>нкурсной комиссии 15 июля</w:t>
      </w:r>
      <w:r w:rsidR="00D53A32">
        <w:rPr>
          <w:rFonts w:ascii="Times New Roman" w:hAnsi="Times New Roman" w:cs="Times New Roman"/>
          <w:sz w:val="24"/>
          <w:szCs w:val="24"/>
        </w:rPr>
        <w:t xml:space="preserve"> </w:t>
      </w:r>
      <w:r w:rsidR="005E3D4C">
        <w:rPr>
          <w:rFonts w:ascii="Times New Roman" w:hAnsi="Times New Roman" w:cs="Times New Roman"/>
          <w:sz w:val="24"/>
          <w:szCs w:val="24"/>
        </w:rPr>
        <w:t xml:space="preserve"> 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5E3D4C">
        <w:rPr>
          <w:rFonts w:ascii="Times New Roman" w:hAnsi="Times New Roman" w:cs="Times New Roman"/>
          <w:sz w:val="24"/>
          <w:szCs w:val="24"/>
        </w:rPr>
        <w:t>пределение участников отбора: 15.07</w:t>
      </w:r>
      <w:r w:rsidR="00D53A32">
        <w:rPr>
          <w:rFonts w:ascii="Times New Roman" w:hAnsi="Times New Roman" w:cs="Times New Roman"/>
          <w:sz w:val="24"/>
          <w:szCs w:val="24"/>
        </w:rPr>
        <w:t>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="00B0163B">
        <w:rPr>
          <w:rFonts w:ascii="Times New Roman" w:hAnsi="Times New Roman" w:cs="Times New Roman"/>
          <w:sz w:val="24"/>
          <w:szCs w:val="24"/>
        </w:rPr>
        <w:t xml:space="preserve">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lastRenderedPageBreak/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A81876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8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1876">
        <w:rPr>
          <w:rFonts w:ascii="Times New Roman" w:hAnsi="Times New Roman" w:cs="Times New Roman"/>
          <w:sz w:val="24"/>
          <w:szCs w:val="24"/>
        </w:rPr>
        <w:t>. Порядок определени</w:t>
      </w:r>
      <w:r w:rsidR="00A81876">
        <w:rPr>
          <w:rFonts w:ascii="Times New Roman" w:hAnsi="Times New Roman" w:cs="Times New Roman"/>
          <w:sz w:val="24"/>
          <w:szCs w:val="24"/>
        </w:rPr>
        <w:t>я победителя открытого конкурса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A818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A818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Лица, принявшие участие в заседании Комиссии.</w:t>
      </w:r>
    </w:p>
    <w:p w:rsidR="002D3D95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Реестр участников конкурсного отбора.</w:t>
      </w:r>
    </w:p>
    <w:p w:rsidR="00D76ABB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AD245D" w:rsidRPr="00AD245D" w:rsidRDefault="00B3064F" w:rsidP="00A818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AD245D"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1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A81876" w:rsidRDefault="00A81876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</w:t>
      </w:r>
      <w:r w:rsidR="00AD245D" w:rsidRPr="002D5A47">
        <w:rPr>
          <w:rFonts w:ascii="Times New Roman" w:eastAsia="Times New Roman" w:hAnsi="Times New Roman"/>
          <w:sz w:val="24"/>
          <w:szCs w:val="24"/>
          <w:lang w:eastAsia="ru-RU"/>
        </w:rPr>
        <w:t>(какие именно)_______________</w:t>
      </w:r>
      <w:r w:rsidR="00AD24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AD245D" w:rsidRPr="002D5A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18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B3064F">
        <w:rPr>
          <w:rFonts w:ascii="Times New Roman" w:hAnsi="Times New Roman" w:cs="Times New Roman"/>
        </w:rPr>
        <w:t>иложение 2</w:t>
      </w:r>
    </w:p>
    <w:p w:rsidR="00A81876" w:rsidRPr="00B3064F" w:rsidRDefault="00A81876" w:rsidP="00A8187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7232">
        <w:rPr>
          <w:rFonts w:ascii="Times New Roman" w:hAnsi="Times New Roman" w:cs="Times New Roman"/>
        </w:rPr>
        <w:t xml:space="preserve">                              </w:t>
      </w:r>
      <w:r w:rsidRPr="00B3064F">
        <w:rPr>
          <w:rFonts w:ascii="Times New Roman" w:hAnsi="Times New Roman" w:cs="Times New Roman"/>
        </w:rPr>
        <w:t xml:space="preserve">к конкурсной документации </w:t>
      </w:r>
    </w:p>
    <w:p w:rsidR="00A81876" w:rsidRPr="00B3064F" w:rsidRDefault="00A81876" w:rsidP="00A81876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A81876" w:rsidRPr="00B3064F" w:rsidRDefault="00A81876" w:rsidP="00A81876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A81876" w:rsidRPr="00B3064F" w:rsidTr="000050DA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81876" w:rsidRPr="00B3064F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5E7232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</w:t>
      </w:r>
      <w:r w:rsidR="00AD245D"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>риложение 3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3064F"/>
    <w:rsid w:val="000050DA"/>
    <w:rsid w:val="00015D0D"/>
    <w:rsid w:val="00072F49"/>
    <w:rsid w:val="00083F8A"/>
    <w:rsid w:val="00087F64"/>
    <w:rsid w:val="000A7CFC"/>
    <w:rsid w:val="000D274A"/>
    <w:rsid w:val="000F5FCD"/>
    <w:rsid w:val="00112746"/>
    <w:rsid w:val="001852BB"/>
    <w:rsid w:val="002042ED"/>
    <w:rsid w:val="0023239D"/>
    <w:rsid w:val="002616D7"/>
    <w:rsid w:val="00264FD1"/>
    <w:rsid w:val="00284B9A"/>
    <w:rsid w:val="002D3D95"/>
    <w:rsid w:val="00307BA0"/>
    <w:rsid w:val="00337A6E"/>
    <w:rsid w:val="003925F7"/>
    <w:rsid w:val="0046618A"/>
    <w:rsid w:val="004C039A"/>
    <w:rsid w:val="004F7B7A"/>
    <w:rsid w:val="005E3D4C"/>
    <w:rsid w:val="005E5E18"/>
    <w:rsid w:val="005E7232"/>
    <w:rsid w:val="00633E0D"/>
    <w:rsid w:val="006401F9"/>
    <w:rsid w:val="00662357"/>
    <w:rsid w:val="006962DD"/>
    <w:rsid w:val="006D480E"/>
    <w:rsid w:val="00722D20"/>
    <w:rsid w:val="007D1C26"/>
    <w:rsid w:val="007F02AC"/>
    <w:rsid w:val="008C3044"/>
    <w:rsid w:val="008E520C"/>
    <w:rsid w:val="008F67F1"/>
    <w:rsid w:val="009961CC"/>
    <w:rsid w:val="009E7D0F"/>
    <w:rsid w:val="00A01968"/>
    <w:rsid w:val="00A5377B"/>
    <w:rsid w:val="00A6174D"/>
    <w:rsid w:val="00A81876"/>
    <w:rsid w:val="00AB279F"/>
    <w:rsid w:val="00AD245D"/>
    <w:rsid w:val="00AD74A6"/>
    <w:rsid w:val="00B0163B"/>
    <w:rsid w:val="00B3064F"/>
    <w:rsid w:val="00B4700E"/>
    <w:rsid w:val="00BD0983"/>
    <w:rsid w:val="00C22ADF"/>
    <w:rsid w:val="00C35C3D"/>
    <w:rsid w:val="00C64C8A"/>
    <w:rsid w:val="00C863F3"/>
    <w:rsid w:val="00CE1D26"/>
    <w:rsid w:val="00D53A32"/>
    <w:rsid w:val="00D6425D"/>
    <w:rsid w:val="00D76ABB"/>
    <w:rsid w:val="00D87ED6"/>
    <w:rsid w:val="00DB27E3"/>
    <w:rsid w:val="00DF0616"/>
    <w:rsid w:val="00E70D06"/>
    <w:rsid w:val="00E716C1"/>
    <w:rsid w:val="00E83329"/>
    <w:rsid w:val="00F27303"/>
    <w:rsid w:val="00F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3</cp:revision>
  <cp:lastPrinted>2020-06-16T08:35:00Z</cp:lastPrinted>
  <dcterms:created xsi:type="dcterms:W3CDTF">2020-06-02T06:31:00Z</dcterms:created>
  <dcterms:modified xsi:type="dcterms:W3CDTF">2020-06-16T08:48:00Z</dcterms:modified>
</cp:coreProperties>
</file>