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DE" w:rsidRDefault="00694CDE" w:rsidP="00694CDE">
      <w:pPr>
        <w:pStyle w:val="Default"/>
        <w:jc w:val="center"/>
      </w:pPr>
      <w:r>
        <w:t>Об исполнении  решений, протокольных поручений, исполнение плановых мероприятий, предусмотренных планом мероприятий по противодействию коррупции в 1 квартале 2020 года</w:t>
      </w:r>
    </w:p>
    <w:p w:rsidR="00694CDE" w:rsidRDefault="00694CDE" w:rsidP="00694CDE">
      <w:pPr>
        <w:pStyle w:val="Defaul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28"/>
        <w:gridCol w:w="1559"/>
        <w:gridCol w:w="3828"/>
      </w:tblGrid>
      <w:tr w:rsidR="00694CDE" w:rsidTr="002F4DBB">
        <w:trPr>
          <w:trHeight w:val="345"/>
        </w:trPr>
        <w:tc>
          <w:tcPr>
            <w:tcW w:w="817"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 </w:t>
            </w:r>
          </w:p>
          <w:p w:rsidR="00694CDE" w:rsidRDefault="00694CDE" w:rsidP="002F4DBB">
            <w:pPr>
              <w:pStyle w:val="Default"/>
            </w:pPr>
            <w:proofErr w:type="spellStart"/>
            <w:proofErr w:type="gramStart"/>
            <w:r>
              <w:t>п</w:t>
            </w:r>
            <w:proofErr w:type="spellEnd"/>
            <w:proofErr w:type="gramEnd"/>
            <w:r>
              <w:t>/</w:t>
            </w:r>
            <w:proofErr w:type="spellStart"/>
            <w:r>
              <w:t>п</w:t>
            </w:r>
            <w:proofErr w:type="spellEnd"/>
            <w: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Мероприятия </w:t>
            </w:r>
          </w:p>
        </w:tc>
        <w:tc>
          <w:tcPr>
            <w:tcW w:w="1559"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Срок выполнения </w:t>
            </w:r>
          </w:p>
        </w:tc>
        <w:tc>
          <w:tcPr>
            <w:tcW w:w="3828"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Информация об исполнении </w:t>
            </w:r>
          </w:p>
        </w:tc>
      </w:tr>
      <w:tr w:rsidR="00694CDE" w:rsidTr="002F4DBB">
        <w:trPr>
          <w:trHeight w:val="100"/>
        </w:trPr>
        <w:tc>
          <w:tcPr>
            <w:tcW w:w="10032" w:type="dxa"/>
            <w:gridSpan w:val="4"/>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jc w:val="center"/>
            </w:pPr>
            <w:r>
              <w:t>Раздел 1. Меры по нормативно-правовому обеспечению антикоррупционной деятельности</w:t>
            </w:r>
          </w:p>
        </w:tc>
      </w:tr>
      <w:tr w:rsidR="00694CDE" w:rsidTr="002F4DBB">
        <w:trPr>
          <w:trHeight w:val="1266"/>
        </w:trPr>
        <w:tc>
          <w:tcPr>
            <w:tcW w:w="817"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1.1. </w:t>
            </w:r>
          </w:p>
        </w:tc>
        <w:tc>
          <w:tcPr>
            <w:tcW w:w="3828"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proofErr w:type="gramStart"/>
            <w:r>
              <w:t xml:space="preserve">Обеспечение постоянного мониторинга нормативных правовых актов органов местного самоуправления муниципального образования Кондинский район, поселений в границах Кондинского района, подведомственных им организациях (учреждениях) в сфере противодействия коррупции в целях своевременного приведения их в соответствие с федеральными законами, законами Ханты-Мансийского автономного округа - </w:t>
            </w:r>
            <w:proofErr w:type="spellStart"/>
            <w:r>
              <w:t>Югры</w:t>
            </w:r>
            <w:proofErr w:type="spellEnd"/>
            <w:r>
              <w:t xml:space="preserve"> и иными нормативными правовыми актами Российской Федерации и Ханты-Мансийского автономного округа - </w:t>
            </w:r>
            <w:proofErr w:type="spellStart"/>
            <w:r>
              <w:t>Югры</w:t>
            </w:r>
            <w:proofErr w:type="spellEnd"/>
            <w:r>
              <w:t xml:space="preserve">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Ежемесячно </w:t>
            </w:r>
          </w:p>
          <w:p w:rsidR="00694CDE" w:rsidRDefault="00694CDE" w:rsidP="002F4DBB">
            <w:pPr>
              <w:pStyle w:val="Default"/>
            </w:pPr>
            <w:r>
              <w:t xml:space="preserve">в течение </w:t>
            </w:r>
          </w:p>
          <w:p w:rsidR="00694CDE" w:rsidRDefault="00694CDE" w:rsidP="002F4DBB">
            <w:pPr>
              <w:pStyle w:val="Default"/>
            </w:pPr>
            <w:r>
              <w:t xml:space="preserve">2018-2020 годов </w:t>
            </w:r>
          </w:p>
        </w:tc>
        <w:tc>
          <w:tcPr>
            <w:tcW w:w="3828" w:type="dxa"/>
            <w:tcBorders>
              <w:top w:val="single" w:sz="4" w:space="0" w:color="auto"/>
              <w:left w:val="single" w:sz="4" w:space="0" w:color="auto"/>
              <w:bottom w:val="single" w:sz="4" w:space="0" w:color="auto"/>
              <w:right w:val="single" w:sz="4" w:space="0" w:color="auto"/>
            </w:tcBorders>
          </w:tcPr>
          <w:p w:rsidR="00694CDE" w:rsidRPr="004834F1" w:rsidRDefault="00694CDE" w:rsidP="002F4DBB">
            <w:pPr>
              <w:pStyle w:val="a3"/>
              <w:tabs>
                <w:tab w:val="left" w:pos="536"/>
              </w:tabs>
              <w:ind w:firstLine="194"/>
              <w:jc w:val="both"/>
              <w:rPr>
                <w:rFonts w:ascii="Times New Roman" w:hAnsi="Times New Roman"/>
                <w:szCs w:val="24"/>
              </w:rPr>
            </w:pPr>
            <w:r w:rsidRPr="004834F1">
              <w:rPr>
                <w:rFonts w:ascii="Times New Roman" w:hAnsi="Times New Roman"/>
                <w:szCs w:val="24"/>
              </w:rPr>
              <w:t>Мониторинг нормативных правовых актов органов местного самоуправления осуществляется посредством программного обеспечения АРС Кодекс, а также путем осуществления мониторинга изменений действующего законодательства в сфере противодействия коррупции.</w:t>
            </w:r>
          </w:p>
          <w:p w:rsidR="00694CDE" w:rsidRPr="004834F1" w:rsidRDefault="00694CDE" w:rsidP="002F4DBB">
            <w:pPr>
              <w:pStyle w:val="a3"/>
              <w:tabs>
                <w:tab w:val="left" w:pos="536"/>
              </w:tabs>
              <w:ind w:firstLine="194"/>
              <w:jc w:val="both"/>
              <w:rPr>
                <w:rFonts w:ascii="Times New Roman" w:hAnsi="Times New Roman"/>
                <w:szCs w:val="24"/>
              </w:rPr>
            </w:pPr>
            <w:r w:rsidRPr="004834F1">
              <w:rPr>
                <w:rFonts w:ascii="Times New Roman" w:hAnsi="Times New Roman"/>
                <w:szCs w:val="24"/>
              </w:rPr>
              <w:t xml:space="preserve">За текущий период 2020 года подготовлены и скорректированы правовые акты по вопросам противодействия коррупции: </w:t>
            </w:r>
          </w:p>
          <w:p w:rsidR="00694CDE" w:rsidRPr="004834F1" w:rsidRDefault="00694CDE" w:rsidP="002F4DBB">
            <w:pPr>
              <w:pStyle w:val="Default"/>
              <w:tabs>
                <w:tab w:val="left" w:pos="536"/>
              </w:tabs>
              <w:ind w:firstLine="194"/>
              <w:jc w:val="both"/>
              <w:rPr>
                <w:color w:val="auto"/>
              </w:rPr>
            </w:pPr>
          </w:p>
          <w:p w:rsidR="00694CDE" w:rsidRPr="004834F1" w:rsidRDefault="00694CDE" w:rsidP="00694CDE">
            <w:pPr>
              <w:pStyle w:val="Default"/>
              <w:numPr>
                <w:ilvl w:val="0"/>
                <w:numId w:val="1"/>
              </w:numPr>
              <w:tabs>
                <w:tab w:val="left" w:pos="536"/>
              </w:tabs>
              <w:ind w:left="0" w:firstLine="194"/>
              <w:jc w:val="both"/>
              <w:rPr>
                <w:color w:val="auto"/>
              </w:rPr>
            </w:pPr>
            <w:r w:rsidRPr="004834F1">
              <w:rPr>
                <w:color w:val="auto"/>
              </w:rPr>
              <w:t>Внесены изменения в постановление администрации городского поселения Мортка от 21.09.2017 № 198 «О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 (постановление от 21.04.2020 № 65);</w:t>
            </w:r>
          </w:p>
          <w:p w:rsidR="00694CDE" w:rsidRPr="004834F1" w:rsidRDefault="00694CDE" w:rsidP="00694CDE">
            <w:pPr>
              <w:pStyle w:val="Default"/>
              <w:numPr>
                <w:ilvl w:val="0"/>
                <w:numId w:val="1"/>
              </w:numPr>
              <w:tabs>
                <w:tab w:val="left" w:pos="536"/>
              </w:tabs>
              <w:ind w:left="0" w:firstLine="194"/>
              <w:jc w:val="both"/>
              <w:rPr>
                <w:color w:val="auto"/>
              </w:rPr>
            </w:pPr>
            <w:r w:rsidRPr="004834F1">
              <w:rPr>
                <w:color w:val="auto"/>
              </w:rPr>
              <w:t xml:space="preserve">Принято постановление администрации городского поселения Мортка от 24.03.2020 № 50 «О работе по выявлению фактов, содержащих признаки конфликта интересов, в том числе скрытой </w:t>
            </w:r>
            <w:proofErr w:type="spellStart"/>
            <w:r w:rsidRPr="004834F1">
              <w:rPr>
                <w:color w:val="auto"/>
              </w:rPr>
              <w:t>аффилированности</w:t>
            </w:r>
            <w:proofErr w:type="spellEnd"/>
            <w:r w:rsidRPr="004834F1">
              <w:rPr>
                <w:color w:val="auto"/>
              </w:rPr>
              <w:t xml:space="preserve"> и своевременному принятию мер, направленных на урегулирование возникновения конфликта интересов»;</w:t>
            </w:r>
          </w:p>
          <w:p w:rsidR="00694CDE" w:rsidRPr="004834F1" w:rsidRDefault="00694CDE" w:rsidP="00694CDE">
            <w:pPr>
              <w:pStyle w:val="Default"/>
              <w:numPr>
                <w:ilvl w:val="0"/>
                <w:numId w:val="1"/>
              </w:numPr>
              <w:tabs>
                <w:tab w:val="left" w:pos="536"/>
              </w:tabs>
              <w:ind w:left="0" w:firstLine="194"/>
              <w:jc w:val="both"/>
              <w:rPr>
                <w:color w:val="auto"/>
              </w:rPr>
            </w:pPr>
            <w:r w:rsidRPr="004834F1">
              <w:rPr>
                <w:color w:val="auto"/>
              </w:rPr>
              <w:t>Принято распоряжение администрации городского поселения Мортка от 13.01.2020 № 2-р «Об утверждении  Плана работы по профилактике коррупционных и иных правонарушений на 2020 год»;</w:t>
            </w:r>
          </w:p>
          <w:p w:rsidR="00694CDE" w:rsidRPr="004834F1" w:rsidRDefault="00694CDE" w:rsidP="00694CDE">
            <w:pPr>
              <w:pStyle w:val="Default"/>
              <w:numPr>
                <w:ilvl w:val="0"/>
                <w:numId w:val="1"/>
              </w:numPr>
              <w:tabs>
                <w:tab w:val="left" w:pos="536"/>
              </w:tabs>
              <w:ind w:left="0" w:firstLine="194"/>
              <w:jc w:val="both"/>
              <w:rPr>
                <w:color w:val="auto"/>
              </w:rPr>
            </w:pPr>
            <w:r w:rsidRPr="004834F1">
              <w:rPr>
                <w:color w:val="auto"/>
              </w:rPr>
              <w:t xml:space="preserve">Принято распоряжение администрации городского </w:t>
            </w:r>
            <w:r w:rsidRPr="004834F1">
              <w:rPr>
                <w:color w:val="auto"/>
              </w:rPr>
              <w:lastRenderedPageBreak/>
              <w:t>поселения Мортка от 13.01.2020 № 3-р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2020 год»;</w:t>
            </w:r>
          </w:p>
          <w:p w:rsidR="00694CDE" w:rsidRPr="004834F1" w:rsidRDefault="00694CDE" w:rsidP="00694CDE">
            <w:pPr>
              <w:pStyle w:val="Default"/>
              <w:numPr>
                <w:ilvl w:val="0"/>
                <w:numId w:val="1"/>
              </w:numPr>
              <w:tabs>
                <w:tab w:val="left" w:pos="536"/>
              </w:tabs>
              <w:ind w:left="0" w:firstLine="194"/>
              <w:jc w:val="both"/>
              <w:rPr>
                <w:color w:val="auto"/>
              </w:rPr>
            </w:pPr>
            <w:r w:rsidRPr="004834F1">
              <w:rPr>
                <w:color w:val="auto"/>
              </w:rPr>
              <w:t>Принято распоряжение администрации городского поселения Мортка от 13.01.2020 № 4-р «О предоставлении муниципальными служащими сведений об адресах сайтов и (или) страниц сайтов в информационно-телекоммуникационной сети «Интернет» за 2020 год»;</w:t>
            </w:r>
          </w:p>
          <w:p w:rsidR="00694CDE" w:rsidRPr="004834F1" w:rsidRDefault="00694CDE" w:rsidP="00694CDE">
            <w:pPr>
              <w:pStyle w:val="Default"/>
              <w:numPr>
                <w:ilvl w:val="0"/>
                <w:numId w:val="1"/>
              </w:numPr>
              <w:tabs>
                <w:tab w:val="left" w:pos="536"/>
              </w:tabs>
              <w:ind w:left="0" w:firstLine="194"/>
              <w:jc w:val="both"/>
              <w:rPr>
                <w:color w:val="auto"/>
              </w:rPr>
            </w:pPr>
            <w:r w:rsidRPr="004834F1">
              <w:rPr>
                <w:color w:val="auto"/>
              </w:rPr>
              <w:t>Принято распоряжение администрации городского поселения Мортка от 13.01.2020 № 5-р «О предоставлении сведений о доходах, расходах, об имуществе и обязательствах имущественного характера за 2019 год»</w:t>
            </w:r>
          </w:p>
          <w:p w:rsidR="00694CDE" w:rsidRPr="004834F1" w:rsidRDefault="00694CDE" w:rsidP="00694CDE">
            <w:pPr>
              <w:numPr>
                <w:ilvl w:val="0"/>
                <w:numId w:val="1"/>
              </w:numPr>
              <w:shd w:val="clear" w:color="auto" w:fill="FFFFFF"/>
              <w:tabs>
                <w:tab w:val="left" w:pos="175"/>
                <w:tab w:val="left" w:pos="536"/>
              </w:tabs>
              <w:autoSpaceDE w:val="0"/>
              <w:autoSpaceDN w:val="0"/>
              <w:adjustRightInd w:val="0"/>
              <w:ind w:left="0" w:firstLine="194"/>
              <w:jc w:val="both"/>
              <w:rPr>
                <w:rFonts w:ascii="Times New Roman" w:hAnsi="Times New Roman"/>
              </w:rPr>
            </w:pPr>
            <w:r w:rsidRPr="004834F1">
              <w:rPr>
                <w:rFonts w:ascii="Times New Roman" w:hAnsi="Times New Roman"/>
              </w:rPr>
              <w:t>Признано утратившим силу постановление администрации городского поселения Мортка от 13 июля 2015 года №165 «Об утверждении Типового кодекса этики и служебного поведения работников муниципальных учреждений, предприятий единственным учредителем (участником) которых является администрация городского поселения Мортка» (постановление от 15.01.2020 № 9).</w:t>
            </w:r>
          </w:p>
          <w:p w:rsidR="00694CDE" w:rsidRPr="004834F1" w:rsidRDefault="00694CDE" w:rsidP="00694CDE">
            <w:pPr>
              <w:numPr>
                <w:ilvl w:val="0"/>
                <w:numId w:val="1"/>
              </w:numPr>
              <w:shd w:val="clear" w:color="auto" w:fill="FFFFFF"/>
              <w:tabs>
                <w:tab w:val="left" w:pos="175"/>
                <w:tab w:val="left" w:pos="536"/>
              </w:tabs>
              <w:autoSpaceDE w:val="0"/>
              <w:autoSpaceDN w:val="0"/>
              <w:adjustRightInd w:val="0"/>
              <w:ind w:left="0" w:firstLine="194"/>
              <w:jc w:val="both"/>
            </w:pPr>
            <w:proofErr w:type="gramStart"/>
            <w:r w:rsidRPr="004834F1">
              <w:rPr>
                <w:rFonts w:ascii="Times New Roman" w:hAnsi="Times New Roman"/>
              </w:rPr>
              <w:t xml:space="preserve">Признано утратившим силу постановление администрации городского поселения Мортка от 16 октября 2017 года № 230 «О внесении изменений в постановление администрации городского поселения Мортка от 13 июля 2015 года №165 «Об утверждении Типового кодекса этики и служебного поведения работников муниципальных учреждений, предприятий единственным учредителем (участником) которых является </w:t>
            </w:r>
            <w:r w:rsidRPr="004834F1">
              <w:rPr>
                <w:rFonts w:ascii="Times New Roman" w:hAnsi="Times New Roman"/>
              </w:rPr>
              <w:lastRenderedPageBreak/>
              <w:t>администрация городского поселения Мортка» (постановление от 15.01.2020 № 9).</w:t>
            </w:r>
            <w:proofErr w:type="gramEnd"/>
          </w:p>
        </w:tc>
      </w:tr>
      <w:tr w:rsidR="00694CDE" w:rsidTr="002F4DBB">
        <w:trPr>
          <w:trHeight w:val="232"/>
        </w:trPr>
        <w:tc>
          <w:tcPr>
            <w:tcW w:w="10032" w:type="dxa"/>
            <w:gridSpan w:val="4"/>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jc w:val="center"/>
            </w:pPr>
            <w:r>
              <w:lastRenderedPageBreak/>
              <w:t xml:space="preserve">Раздел 2. Меры по совершенствованию муниципального управления и установлению </w:t>
            </w:r>
            <w:proofErr w:type="spellStart"/>
            <w:r>
              <w:t>антикоррупционных</w:t>
            </w:r>
            <w:proofErr w:type="spellEnd"/>
            <w:r>
              <w:t xml:space="preserve"> механизмов</w:t>
            </w:r>
          </w:p>
        </w:tc>
      </w:tr>
      <w:tr w:rsidR="00694CDE" w:rsidTr="002F4DBB">
        <w:trPr>
          <w:trHeight w:val="2256"/>
        </w:trPr>
        <w:tc>
          <w:tcPr>
            <w:tcW w:w="817"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2.8. </w:t>
            </w:r>
          </w:p>
        </w:tc>
        <w:tc>
          <w:tcPr>
            <w:tcW w:w="3828"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proofErr w:type="gramStart"/>
            <w:r>
              <w:t>Проведение мероприятий, в том числе, обсуждение на заседаниях общественных Советов,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Кондинский район, поселений в границах Кондинского района, исполнительных органов государственной власти автономного округа, организаций и их должностных лиц в целях выработки</w:t>
            </w:r>
            <w:proofErr w:type="gramEnd"/>
            <w:r>
              <w:t xml:space="preserve"> и принятия мер по предупреждению и устранению причин выявленных нарушений в сфере противодействия коррупции. </w:t>
            </w:r>
          </w:p>
        </w:tc>
        <w:tc>
          <w:tcPr>
            <w:tcW w:w="1559"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Ежеквартально </w:t>
            </w:r>
          </w:p>
          <w:p w:rsidR="00694CDE" w:rsidRDefault="00694CDE" w:rsidP="002F4DBB">
            <w:pPr>
              <w:pStyle w:val="Default"/>
            </w:pPr>
            <w:r>
              <w:t xml:space="preserve">в течение </w:t>
            </w:r>
          </w:p>
          <w:p w:rsidR="00694CDE" w:rsidRDefault="00694CDE" w:rsidP="002F4DBB">
            <w:pPr>
              <w:pStyle w:val="Default"/>
            </w:pPr>
            <w:r>
              <w:t xml:space="preserve">2018-2020 годов </w:t>
            </w:r>
          </w:p>
        </w:tc>
        <w:tc>
          <w:tcPr>
            <w:tcW w:w="3828"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Вступившие в законную силу решения судов, арбитражных судов о признании </w:t>
            </w:r>
            <w:proofErr w:type="gramStart"/>
            <w:r>
              <w:t>недействительными</w:t>
            </w:r>
            <w:proofErr w:type="gramEnd"/>
            <w:r>
              <w:t xml:space="preserve"> ненормативных правовых актов, незаконными решений и действий (бездействия) органов местного самоуправления муниципального образования городское поселение Мортка отсутствуют</w:t>
            </w:r>
          </w:p>
        </w:tc>
      </w:tr>
      <w:tr w:rsidR="00694CDE" w:rsidTr="002F4DBB">
        <w:trPr>
          <w:trHeight w:val="231"/>
        </w:trPr>
        <w:tc>
          <w:tcPr>
            <w:tcW w:w="10032" w:type="dxa"/>
            <w:gridSpan w:val="4"/>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jc w:val="center"/>
            </w:pPr>
            <w:r>
              <w:t>Раздел 3. Меры по информационному обеспечению, взаимодействию с институтами гражданского общества</w:t>
            </w:r>
          </w:p>
        </w:tc>
      </w:tr>
      <w:tr w:rsidR="00694CDE" w:rsidTr="002F4DBB">
        <w:trPr>
          <w:trHeight w:val="358"/>
        </w:trPr>
        <w:tc>
          <w:tcPr>
            <w:tcW w:w="817"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3.1. </w:t>
            </w:r>
          </w:p>
        </w:tc>
        <w:tc>
          <w:tcPr>
            <w:tcW w:w="3828"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Анализ полноты и достоверности информации, опубликованной на </w:t>
            </w:r>
            <w:proofErr w:type="gramStart"/>
            <w:r>
              <w:t>официальных</w:t>
            </w:r>
            <w:proofErr w:type="gramEnd"/>
            <w:r>
              <w:t xml:space="preserve"> </w:t>
            </w:r>
            <w:proofErr w:type="spellStart"/>
            <w:r>
              <w:t>веб-сайтах</w:t>
            </w:r>
            <w:proofErr w:type="spellEnd"/>
            <w:r>
              <w:t xml:space="preserve"> о деятельности </w:t>
            </w:r>
          </w:p>
        </w:tc>
        <w:tc>
          <w:tcPr>
            <w:tcW w:w="1559"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Ежеквартально </w:t>
            </w:r>
          </w:p>
          <w:p w:rsidR="00694CDE" w:rsidRDefault="00694CDE" w:rsidP="002F4DBB">
            <w:pPr>
              <w:pStyle w:val="Default"/>
            </w:pPr>
            <w:r>
              <w:t xml:space="preserve">в течение </w:t>
            </w:r>
          </w:p>
          <w:p w:rsidR="00694CDE" w:rsidRDefault="00694CDE" w:rsidP="002F4DBB">
            <w:pPr>
              <w:pStyle w:val="Default"/>
            </w:pPr>
            <w:r>
              <w:t xml:space="preserve">2018-2020 годов </w:t>
            </w:r>
          </w:p>
        </w:tc>
        <w:tc>
          <w:tcPr>
            <w:tcW w:w="3828"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proofErr w:type="gramStart"/>
            <w:r>
              <w:t xml:space="preserve">Распоряжением администрации городского поселения Мортка от 28.12.2018 № 357-р назначены ответственные лица за размещение информации о деятельности органов местного самоуправления городского поселения Мортка в сети Интернет и поддержании ее в актуальном состоянии,  в соответствии со статьей 13 Федерального закона от 09 февраля </w:t>
            </w:r>
            <w:smartTag w:uri="urn:schemas-microsoft-com:office:smarttags" w:element="metricconverter">
              <w:smartTagPr>
                <w:attr w:name="ProductID" w:val="2009 г"/>
              </w:smartTagPr>
              <w:r>
                <w:t>2009 года</w:t>
              </w:r>
            </w:smartTag>
            <w:r>
              <w:t xml:space="preserve"> № 8-ФЗ «Об обеспечении доступа к информационной деятельности государственных органов и органов местного самоуправления»</w:t>
            </w:r>
            <w:proofErr w:type="gramEnd"/>
          </w:p>
        </w:tc>
      </w:tr>
      <w:tr w:rsidR="00694CDE" w:rsidTr="002F4DBB">
        <w:trPr>
          <w:trHeight w:val="331"/>
        </w:trPr>
        <w:tc>
          <w:tcPr>
            <w:tcW w:w="10031" w:type="dxa"/>
            <w:gridSpan w:val="4"/>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Раздел 4. Внедрение </w:t>
            </w:r>
            <w:proofErr w:type="spellStart"/>
            <w:r>
              <w:t>антикоррупционных</w:t>
            </w:r>
            <w:proofErr w:type="spellEnd"/>
            <w:r>
              <w:t xml:space="preserve"> механизмов в рамках реализации кадровой политики </w:t>
            </w:r>
          </w:p>
        </w:tc>
      </w:tr>
      <w:tr w:rsidR="00694CDE" w:rsidTr="002F4DBB">
        <w:trPr>
          <w:trHeight w:val="868"/>
        </w:trPr>
        <w:tc>
          <w:tcPr>
            <w:tcW w:w="817"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4.4. </w:t>
            </w:r>
          </w:p>
        </w:tc>
        <w:tc>
          <w:tcPr>
            <w:tcW w:w="3828"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t xml:space="preserve">Обеспечение использования специального программного обеспечения «Справки БК» для </w:t>
            </w:r>
            <w:r>
              <w:lastRenderedPageBreak/>
              <w:t xml:space="preserve">предоставления сведений о доходах, расходах, об имуществе и обязательствах имущественного характера, в том числе на членов семьи. </w:t>
            </w:r>
          </w:p>
        </w:tc>
        <w:tc>
          <w:tcPr>
            <w:tcW w:w="1559"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lastRenderedPageBreak/>
              <w:t xml:space="preserve">до 30 апреля </w:t>
            </w:r>
          </w:p>
          <w:p w:rsidR="00694CDE" w:rsidRDefault="00694CDE" w:rsidP="002F4DBB">
            <w:pPr>
              <w:pStyle w:val="Default"/>
            </w:pPr>
            <w:r>
              <w:t xml:space="preserve">2019 года </w:t>
            </w:r>
          </w:p>
          <w:p w:rsidR="00694CDE" w:rsidRDefault="00694CDE" w:rsidP="002F4DBB">
            <w:pPr>
              <w:pStyle w:val="Default"/>
            </w:pPr>
            <w:r>
              <w:t xml:space="preserve">до 30 апреля </w:t>
            </w:r>
          </w:p>
          <w:p w:rsidR="00694CDE" w:rsidRDefault="00694CDE" w:rsidP="002F4DBB">
            <w:pPr>
              <w:pStyle w:val="Default"/>
            </w:pPr>
            <w:r>
              <w:lastRenderedPageBreak/>
              <w:t xml:space="preserve">2020 года </w:t>
            </w:r>
          </w:p>
        </w:tc>
        <w:tc>
          <w:tcPr>
            <w:tcW w:w="3827" w:type="dxa"/>
            <w:tcBorders>
              <w:top w:val="single" w:sz="4" w:space="0" w:color="auto"/>
              <w:left w:val="single" w:sz="4" w:space="0" w:color="auto"/>
              <w:bottom w:val="single" w:sz="4" w:space="0" w:color="auto"/>
              <w:right w:val="single" w:sz="4" w:space="0" w:color="auto"/>
            </w:tcBorders>
            <w:hideMark/>
          </w:tcPr>
          <w:p w:rsidR="00694CDE" w:rsidRDefault="00694CDE" w:rsidP="002F4DBB">
            <w:pPr>
              <w:pStyle w:val="Default"/>
            </w:pPr>
            <w:r>
              <w:lastRenderedPageBreak/>
              <w:t xml:space="preserve">При предоставлении сведений о доходах, расходах, об имуществе и обязательствах имущественного </w:t>
            </w:r>
            <w:r>
              <w:lastRenderedPageBreak/>
              <w:t>характера, в том числе на членов семьи обеспечено использование специального программного обеспечения «Справки БК».</w:t>
            </w:r>
          </w:p>
          <w:p w:rsidR="00694CDE" w:rsidRDefault="00694CDE" w:rsidP="002F4DBB">
            <w:pPr>
              <w:pStyle w:val="Default"/>
            </w:pPr>
            <w:proofErr w:type="gramStart"/>
            <w:r>
              <w:t>С использованием специального программного обеспечения «Справки БК» предоставлено 35 справок о  доходах, расходах, об имуществе и обязательствах имущественного характера, в том числе на членов семьи  (глава поселения 1, член семьи главы поселения 1, муниципальные служащие  3, члены семей муниципальных служащих 1, руководитель подведомственного учреждения культуры 1, депутаты Совета поселения 9, члены семей депутатов Совета поселения 19)</w:t>
            </w:r>
            <w:proofErr w:type="gramEnd"/>
          </w:p>
        </w:tc>
      </w:tr>
    </w:tbl>
    <w:p w:rsidR="00694CDE" w:rsidRDefault="00694CDE" w:rsidP="00694CDE">
      <w:pPr>
        <w:pStyle w:val="a5"/>
        <w:spacing w:line="276" w:lineRule="auto"/>
        <w:jc w:val="left"/>
        <w:rPr>
          <w:rFonts w:ascii="Times New Roman" w:hAnsi="Times New Roman"/>
          <w:b w:val="0"/>
          <w:sz w:val="24"/>
          <w:szCs w:val="24"/>
        </w:rPr>
      </w:pPr>
    </w:p>
    <w:p w:rsidR="00694CDE" w:rsidRPr="00B41E57" w:rsidRDefault="00694CDE" w:rsidP="00694CDE">
      <w:pPr>
        <w:jc w:val="both"/>
        <w:rPr>
          <w:rFonts w:ascii="Times New Roman" w:hAnsi="Times New Roman"/>
          <w:sz w:val="18"/>
          <w:szCs w:val="18"/>
        </w:rPr>
      </w:pPr>
    </w:p>
    <w:p w:rsidR="00694CDE" w:rsidRPr="000B2B63" w:rsidRDefault="00694CDE" w:rsidP="00694CDE">
      <w:pPr>
        <w:jc w:val="both"/>
        <w:rPr>
          <w:rFonts w:ascii="Times New Roman" w:hAnsi="Times New Roman"/>
          <w:b/>
          <w:i/>
          <w:sz w:val="20"/>
        </w:rPr>
      </w:pPr>
    </w:p>
    <w:p w:rsidR="00694CDE" w:rsidRDefault="00694CDE" w:rsidP="00694CDE">
      <w:pPr>
        <w:shd w:val="clear" w:color="auto" w:fill="FFFFFF"/>
        <w:rPr>
          <w:rFonts w:ascii="Times New Roman" w:hAnsi="Times New Roman"/>
          <w:bCs/>
          <w:sz w:val="16"/>
          <w:szCs w:val="16"/>
        </w:rPr>
      </w:pPr>
    </w:p>
    <w:p w:rsidR="00944EE9" w:rsidRDefault="00944EE9"/>
    <w:sectPr w:rsidR="00944EE9" w:rsidSect="00694CDE">
      <w:pgSz w:w="11906" w:h="16838"/>
      <w:pgMar w:top="1134" w:right="566" w:bottom="568" w:left="993" w:header="0"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B1DE1"/>
    <w:multiLevelType w:val="hybridMultilevel"/>
    <w:tmpl w:val="C340FF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CDE"/>
    <w:rsid w:val="00694CDE"/>
    <w:rsid w:val="00944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CDE"/>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94CDE"/>
    <w:rPr>
      <w:szCs w:val="32"/>
    </w:rPr>
  </w:style>
  <w:style w:type="paragraph" w:styleId="a5">
    <w:name w:val="Title"/>
    <w:basedOn w:val="a"/>
    <w:next w:val="a"/>
    <w:link w:val="a6"/>
    <w:qFormat/>
    <w:rsid w:val="00694CDE"/>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rsid w:val="00694CDE"/>
    <w:rPr>
      <w:rFonts w:asciiTheme="majorHAnsi" w:eastAsiaTheme="majorEastAsia" w:hAnsiTheme="majorHAnsi" w:cs="Times New Roman"/>
      <w:b/>
      <w:bCs/>
      <w:kern w:val="28"/>
      <w:sz w:val="32"/>
      <w:szCs w:val="32"/>
    </w:rPr>
  </w:style>
  <w:style w:type="character" w:customStyle="1" w:styleId="a4">
    <w:name w:val="Без интервала Знак"/>
    <w:link w:val="a3"/>
    <w:uiPriority w:val="1"/>
    <w:locked/>
    <w:rsid w:val="00694CDE"/>
    <w:rPr>
      <w:rFonts w:eastAsiaTheme="minorEastAsia" w:cs="Times New Roman"/>
      <w:sz w:val="24"/>
      <w:szCs w:val="32"/>
    </w:rPr>
  </w:style>
  <w:style w:type="paragraph" w:customStyle="1" w:styleId="Default">
    <w:name w:val="Default"/>
    <w:rsid w:val="00694C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kungurova</dc:creator>
  <cp:keywords/>
  <dc:description/>
  <cp:lastModifiedBy>kungurova</cp:lastModifiedBy>
  <cp:revision>2</cp:revision>
  <cp:lastPrinted>2020-07-21T05:20:00Z</cp:lastPrinted>
  <dcterms:created xsi:type="dcterms:W3CDTF">2020-07-21T05:17:00Z</dcterms:created>
  <dcterms:modified xsi:type="dcterms:W3CDTF">2020-07-21T05:22:00Z</dcterms:modified>
</cp:coreProperties>
</file>