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3pt;mso-wrap-distance-left:0.0pt;mso-wrap-distance-top:0.0pt;mso-wrap-distance-right:0.0pt;mso-wrap-distance-bottom:0.0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Приказ Региональной службы по тарифам ХМАО - Югры от 07.12.2021 N 95-нп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(ред. от 29.11.2022)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"Об установлении тарифов на тепловую энергию (мощность), поставляемую теплоснабжающими организациями потребителям"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Документ предоставлен </w:t>
            </w:r>
            <w:hyperlink r:id="rId19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</w:hyperlink>
            <w:hyperlink r:id="rId20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Дата сохранения: 19.07.2023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0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РЕГИОНАЛЬНАЯ СЛУЖБА ПО ТАРИФАМ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ХАНТЫ-МАНСИЙСКОГО АВТОНОМНОГО ОКРУГА - ЮГРЫ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(РСТ ЮГРЫ)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ПРИКАЗ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от 7 декабря 2021 г. N 95-нп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 УСТАНОВЛЕНИИ ТАРИФОВ НА ТЕПЛОВУЮ ЭНЕРГИЮ (МОЩНОСТЬ),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ПОСТАВЛЯЕМУЮ ТЕПЛОСНАБЖАЮЩИМИ ОРГАНИЗАЦИЯМИ ПОТРЕБИТЕЛЯМ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приказов Региональной службы по тарифам ХМАО - Югры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22.11.2022 </w:t>
            </w:r>
            <w:hyperlink r:id="rId2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73-нп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22.11.2022 </w:t>
            </w:r>
            <w:hyperlink r:id="rId2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74-нп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29.11.2022 </w:t>
            </w:r>
            <w:hyperlink r:id="rId2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95-нп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соответствии с Федеральным </w:t>
      </w:r>
      <w:hyperlink r:id="rId2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от 27 июля 2010 года N 190-ФЗ "О теплоснабжении", </w:t>
      </w:r>
      <w:hyperlink r:id="rId2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Российской Федерации от 22 октября 2012 года N 1075 "О ценообразовании в сфере теплоснабжения", приказами Федеральной службы по тарифам от 7 июня 2013 года </w:t>
      </w:r>
      <w:hyperlink r:id="rId2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163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теплоснабжения", от 13 июня 2013 года </w:t>
      </w:r>
      <w:hyperlink r:id="rId2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760-э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"Об утверждении Методических указаний по расчету регулируемых цен (тарифов) в сфере теплоснабжения", </w:t>
      </w:r>
      <w:hyperlink r:id="rId2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на основании обращений теплоснабжающих организаций и протокола правления Региональной службы по тарифам Ханты-Мансийского автономного округа - Югры от 7 декабря 2021 года N 62 приказываю: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Установить тарифы на тепловую энергию (мощность), поставляемую теплоснабжающими организациями потребителям, согласно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приложениям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к настоящему приказу.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(Приложения 1, 3 утратили силу с 1 декабря 2022 года. - Приказы Региональной службы по тарифам ХМАО - Югры от 22.11.2022 </w:t>
      </w:r>
      <w:hyperlink r:id="rId2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73-нп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29.11.2022 </w:t>
      </w:r>
      <w:hyperlink r:id="rId3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95-нп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Тарифы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установленные в приложении 1 к настоящему приказу, действуют с 1 января 2022 года по 31 декабря 2022 года.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Тарифы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установленные в приложении 2 к настоящему приказу, действуют с 1 января 2022 года по 31 декабря 2024 года.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Тарифы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установленные в приложении 3 к настоящему приказу, действуют с 1 января 2022 года по 31 декабря 2026 года.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 Установить долгосрочные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параметры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регулирования, устанавливаемые на долгосрочный период регулирования для формирования тарифов на тепловую энергию (мощность), поставляемую теплоснабжающими организациями потребителям, с использованием метода индексации установленных тарифов на 2022 - 2024 годы, согласно приложению 4 к настоящему приказу.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 Установить долгосрочные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параметры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регулирования, устанавливаемые на долгосрочный период регулирования для формирования тарифов на тепловую энергию (мощность), поставляемую обществом с ограниченной ответственностью "Сургутские городские электрические сети" потребителям, с использованием метода индексации установленных тарифов на 2022 - 2026 годы, согласно приложению 5 к настоящему приказу.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Руководитель службы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А.А.БЕРЕЗОВСКИЙ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1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приказу Региональной службы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 тарифам 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7 декабря 2021 года N 95-нп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1" w:name="Par36"/>
      <w:bookmarkEnd w:id="1"/>
      <w:r>
        <w:rPr>
          <w:rFonts w:ascii="Arial" w:hAnsi="Arial" w:eastAsia="Arial" w:cs="Arial"/>
          <w:b/>
          <w:i w:val="0"/>
          <w:strike w:val="0"/>
          <w:sz w:val="24"/>
        </w:rPr>
        <w:t xml:space="preserve">ТАРИФЫ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НА ТЕПЛОВУЮ ЭНЕРГИЮ (МОЩНОСТЬ), ПОСТАВЛЯЕМУЮ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ТЕПЛОСНАБЖАЮЩИМИ ОРГАНИЗАЦИЯМИ ПОТРЕБИТЕЛЯМ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Утратили силу с 1 декабря 2022 года. - </w:t>
      </w:r>
      <w:hyperlink r:id="rId3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29.11.2022 N 95-нп.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2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приказу Региональной службы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 тарифам 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7 декабря 2021 года N 95-нп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2" w:name="Par52"/>
      <w:bookmarkEnd w:id="2"/>
      <w:r>
        <w:rPr>
          <w:rFonts w:ascii="Arial" w:hAnsi="Arial" w:eastAsia="Arial" w:cs="Arial"/>
          <w:b/>
          <w:i w:val="0"/>
          <w:strike w:val="0"/>
          <w:sz w:val="24"/>
        </w:rPr>
        <w:t xml:space="preserve">ТАРИФЫ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НА ТЕПЛОВУЮ ЭНЕРГИЮ (МОЩНОСТЬ), ПОСТАВЛЯЕМУЮ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ТЕПЛОСНАБЖАЮЩИМИ ОРГАНИЗАЦИЯМИ ПОТРЕБИТЕЛЯМ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приказов Региональной службы по тарифам ХМАО - Югры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22.11.2022 </w:t>
            </w:r>
            <w:hyperlink r:id="rId3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74-нп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29.11.2022 </w:t>
            </w:r>
            <w:hyperlink r:id="rId3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95-нп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726"/>
        <w:gridCol w:w="2127"/>
        <w:gridCol w:w="2126"/>
        <w:gridCol w:w="710"/>
        <w:gridCol w:w="1560"/>
        <w:gridCol w:w="1565"/>
      </w:tblGrid>
      <w:tr>
        <w:trPr>
          <w:jc w:val="left"/>
        </w:trPr>
        <w:tc>
          <w:tcPr>
            <w:tcW w:w="7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п/п</w:t>
            </w:r>
          </w:p>
        </w:tc>
        <w:tc>
          <w:tcPr>
            <w:tcW w:w="2127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Вид тарифа</w:t>
            </w:r>
          </w:p>
        </w:tc>
        <w:tc>
          <w:tcPr>
            <w:tcW w:w="710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Год</w:t>
            </w:r>
          </w:p>
        </w:tc>
        <w:tc>
          <w:tcPr>
            <w:tcW w:w="3125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Вода</w:t>
            </w:r>
          </w:p>
        </w:tc>
      </w:tr>
      <w:tr>
        <w:trPr>
          <w:jc w:val="left"/>
        </w:trPr>
        <w:tc>
          <w:tcPr>
            <w:tcW w:w="7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1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56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 1 января по 30 июня</w:t>
            </w:r>
          </w:p>
        </w:tc>
        <w:tc>
          <w:tcPr>
            <w:tcW w:w="15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 1 июля по 31 декабря</w:t>
            </w:r>
          </w:p>
        </w:tc>
      </w:tr>
      <w:tr>
        <w:trPr>
          <w:jc w:val="left"/>
        </w:trPr>
        <w:tc>
          <w:tcPr>
            <w:tcW w:w="7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1 - 1.1.7.</w:t>
            </w:r>
          </w:p>
        </w:tc>
        <w:tc>
          <w:tcPr>
            <w:tcW w:w="8088" w:type="dxa"/>
            <w:gridSpan w:val="5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Утратили силу с 1 декабря 2022 года. - </w:t>
            </w:r>
            <w:hyperlink r:id="rId3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29.11.2022 N 95-нп</w:t>
            </w:r>
          </w:p>
        </w:tc>
      </w:tr>
      <w:tr>
        <w:trPr>
          <w:jc w:val="left"/>
        </w:trPr>
        <w:tc>
          <w:tcPr>
            <w:tcW w:w="7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2 - 2.1.3.</w:t>
            </w:r>
          </w:p>
        </w:tc>
        <w:tc>
          <w:tcPr>
            <w:tcW w:w="8088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Утратили силу с 1 декабря 2022 года. - </w:t>
            </w:r>
            <w:hyperlink r:id="rId3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22.11.2022 N 74-нп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--------------------------------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&lt;*&gt; Сноска утратила силу с 1 декабря 2022 года. - </w:t>
      </w:r>
      <w:hyperlink r:id="rId3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29.11.2022 N 95-нп.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3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приказу Региональной службы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 тарифам 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7 декабря 2021 года N 95-нп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3" w:name="Par84"/>
      <w:bookmarkEnd w:id="3"/>
      <w:r>
        <w:rPr>
          <w:rFonts w:ascii="Arial" w:hAnsi="Arial" w:eastAsia="Arial" w:cs="Arial"/>
          <w:b/>
          <w:i w:val="0"/>
          <w:strike w:val="0"/>
          <w:sz w:val="24"/>
        </w:rPr>
        <w:t xml:space="preserve">ТАРИФЫ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НА ТЕПЛОВУЮ ЭНЕРГИЮ (МОЩНОСТЬ), ПОСТАВЛЯЕМУЮ ОБЩЕСТВОМ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 ОГРАНИЧЕННОЙ ОТВЕТСТВЕННОСТЬЮ "СУРГУТСКИЕ ГОРОДСКИЕ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ЭЛЕКТРИЧЕСКИЕ СЕТИ" ПОТРЕБИТЕЛЯМ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Утратили силу с 1 декабря 2022 года. - </w:t>
      </w:r>
      <w:hyperlink r:id="rId3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22.11.2022 N 73-нп.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4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приказу Региональной службы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 тарифам 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7 декабря 2021 года N 95-нп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4" w:name="Par101"/>
      <w:bookmarkEnd w:id="4"/>
      <w:r>
        <w:rPr>
          <w:rFonts w:ascii="Arial" w:hAnsi="Arial" w:eastAsia="Arial" w:cs="Arial"/>
          <w:b/>
          <w:i w:val="0"/>
          <w:strike w:val="0"/>
          <w:sz w:val="24"/>
        </w:rPr>
        <w:t xml:space="preserve">ДОЛГОСРОЧНЫЕ ПАРАМЕТРЫ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РЕГУЛИРОВАНИЯ, УСТАНАВЛИВАЕМЫЕ НА ДОЛГОСРОЧНЫЙ ПЕРИОД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РЕГУЛИРОВАНИЯ ДЛЯ ФОРМИРОВАНИЯ ТАРИФОВ НА ТЕПЛОВУЮ ЭНЕРГИЮ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(МОЩНОСТЬ), ПОСТАВЛЯЕМУЮ ТЕПЛОСНАБЖАЮЩИМИ ОРГАНИЗАЦИЯМИ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ПОТРЕБИТЕЛЯМ, С ИСПОЛЬЗОВАНИЕМ МЕТОДА ИНДЕКСАЦИИ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УСТАНОВЛЕННЫХ ТАРИФОВ НА 2022 - 2024 ГОДЫ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sectPr>
          <w:headerReference w:type="default" r:id="rId8"/>
          <w:footerReference w:type="default" r:id="rId13"/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546"/>
        <w:gridCol w:w="1639"/>
        <w:gridCol w:w="604"/>
        <w:gridCol w:w="1639"/>
        <w:gridCol w:w="1669"/>
        <w:gridCol w:w="1579"/>
        <w:gridCol w:w="1819"/>
        <w:gridCol w:w="1474"/>
        <w:gridCol w:w="1304"/>
        <w:gridCol w:w="1219"/>
      </w:tblGrid>
      <w:tr>
        <w:trPr>
          <w:jc w:val="left"/>
        </w:trPr>
        <w:tc>
          <w:tcPr>
            <w:tcW w:w="54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п/п</w:t>
            </w:r>
          </w:p>
        </w:tc>
        <w:tc>
          <w:tcPr>
            <w:tcW w:w="1639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регулируемой организации</w:t>
            </w:r>
          </w:p>
        </w:tc>
        <w:tc>
          <w:tcPr>
            <w:tcW w:w="60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Год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Базовый уровень операционных расходов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Индекс эффективности операционных расходов</w:t>
            </w:r>
          </w:p>
        </w:tc>
        <w:tc>
          <w:tcPr>
            <w:tcW w:w="157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Нормативный уровень прибыли &lt;1&gt;</w:t>
            </w:r>
          </w:p>
        </w:tc>
        <w:tc>
          <w:tcPr>
            <w:tcW w:w="18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Уровень надежности теплоснабжения &lt;*&gt;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Показатели энергосбережения и энергетической эффективности &lt;2&gt; &lt;**&gt;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Реализация программ в области энергосбережения и повышения энергетической эффективности &lt;**&gt;</w:t>
            </w:r>
          </w:p>
        </w:tc>
        <w:tc>
          <w:tcPr>
            <w:tcW w:w="12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Динамика изменения расходов на топливо &lt;***&gt;</w:t>
            </w:r>
          </w:p>
        </w:tc>
      </w:tr>
      <w:tr>
        <w:trPr>
          <w:jc w:val="left"/>
        </w:trPr>
        <w:tc>
          <w:tcPr>
            <w:tcW w:w="54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39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тыс. руб.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57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8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54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</w:t>
            </w:r>
          </w:p>
        </w:tc>
        <w:tc>
          <w:tcPr>
            <w:tcW w:w="12946" w:type="dxa"/>
            <w:gridSpan w:val="9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Муниципальное унитарное предприятие "Советский Тепловодоканал" на территории городских поселений Советский, Зеленоборск, Таежный, Агириш, Коммунистический, Пионерский, Малиновский, сельского поселения Алябьевский Советского муниципального района Ханты-Мансийского автономного округа - Югры</w:t>
            </w:r>
          </w:p>
        </w:tc>
      </w:tr>
      <w:tr>
        <w:trPr>
          <w:jc w:val="left"/>
        </w:trPr>
        <w:tc>
          <w:tcPr>
            <w:tcW w:w="54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1.1.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2022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153 044,43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7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7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2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54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1.2.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2023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57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7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2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54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1.3.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2024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57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7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2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54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</w:t>
            </w:r>
          </w:p>
        </w:tc>
        <w:tc>
          <w:tcPr>
            <w:tcW w:w="12946" w:type="dxa"/>
            <w:gridSpan w:val="9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Публичное акционерное общество Нефтегазовая компания "РуссНефть" в зоне деятельности Нижневартовского филиала публичного акционерного общества Нефтегазовая компания "РуссНефть" на территории городского округа Радужный Ханты-Мансийского автономного округа - Югры</w:t>
            </w:r>
          </w:p>
        </w:tc>
      </w:tr>
      <w:tr>
        <w:trPr>
          <w:jc w:val="left"/>
        </w:trPr>
        <w:tc>
          <w:tcPr>
            <w:tcW w:w="54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2.1.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2022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11 982,10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7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7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2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54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2.2.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2023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57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7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2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54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2.3.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2024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57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7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2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headerReference w:type="default" r:id="rId9"/>
          <w:footerReference w:type="default" r:id="rId14"/>
          <w:type w:val="nextPage"/>
          <w:pgSz w:w="16838" w:h="11906" w:orient="landscape"/>
          <w:pgMar w:top="1133" w:right="1440" w:bottom="566" w:left="1440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--------------------------------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&lt;***&gt;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Уровень надежности теплоснабжения, реализация программ в области энергосбережения и повышения энергетической эффективности в соответствии с </w:t>
      </w:r>
      <w:hyperlink r:id="rId3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пунктом 75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Основ ценообразования в сфере теплоснабжения, утвержденных постановлением Правительства Российской Федерации от 22 октября 2012 года N 1075 "О ценообразовании в сфере теплоснабжения", не относятся к 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 тарифов.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&lt;1&gt; 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&lt;2&gt; Показатели энергосбережения и энергетической эффективности муниципального унитарного предприятия "Советский Тепловодоканал" на территории городских поселений Советский, Зеленоборск, Таежный, Агириш, Коммунистический, Пионерский, Малиновский, сельского поселения Алябьевский Советского муниципального района Ханты-Мансийского автономного округа - Югры: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541"/>
        <w:gridCol w:w="1204"/>
        <w:gridCol w:w="1134"/>
        <w:gridCol w:w="1077"/>
        <w:gridCol w:w="1134"/>
      </w:tblGrid>
      <w:tr>
        <w:trPr>
          <w:jc w:val="left"/>
        </w:trPr>
        <w:tc>
          <w:tcPr>
            <w:tcW w:w="454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2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2022 год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2023 год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2024 год</w:t>
            </w:r>
          </w:p>
        </w:tc>
      </w:tr>
      <w:tr>
        <w:trPr>
          <w:jc w:val="left"/>
        </w:trPr>
        <w:tc>
          <w:tcPr>
            <w:tcW w:w="454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 (газ)</w:t>
            </w:r>
          </w:p>
        </w:tc>
        <w:tc>
          <w:tcPr>
            <w:tcW w:w="12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92,82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92,82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92,82</w:t>
            </w:r>
          </w:p>
        </w:tc>
      </w:tr>
      <w:tr>
        <w:trPr>
          <w:jc w:val="left"/>
        </w:trPr>
        <w:tc>
          <w:tcPr>
            <w:tcW w:w="454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 (щепа)</w:t>
            </w:r>
          </w:p>
        </w:tc>
        <w:tc>
          <w:tcPr>
            <w:tcW w:w="12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77,50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77,50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77,50</w:t>
            </w:r>
          </w:p>
        </w:tc>
      </w:tr>
      <w:tr>
        <w:trPr>
          <w:jc w:val="left"/>
        </w:trPr>
        <w:tc>
          <w:tcPr>
            <w:tcW w:w="454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 (дрова)</w:t>
            </w:r>
          </w:p>
        </w:tc>
        <w:tc>
          <w:tcPr>
            <w:tcW w:w="12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76,49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76,49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76,49</w:t>
            </w:r>
          </w:p>
        </w:tc>
      </w:tr>
      <w:tr>
        <w:trPr>
          <w:jc w:val="left"/>
        </w:trPr>
        <w:tc>
          <w:tcPr>
            <w:tcW w:w="454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 (газ)</w:t>
            </w:r>
          </w:p>
        </w:tc>
        <w:tc>
          <w:tcPr>
            <w:tcW w:w="12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157,37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157,37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157,37</w:t>
            </w:r>
          </w:p>
        </w:tc>
      </w:tr>
      <w:tr>
        <w:trPr>
          <w:jc w:val="left"/>
        </w:trPr>
        <w:tc>
          <w:tcPr>
            <w:tcW w:w="454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 (щепа)</w:t>
            </w:r>
          </w:p>
        </w:tc>
        <w:tc>
          <w:tcPr>
            <w:tcW w:w="12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188,48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188,48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188,48</w:t>
            </w:r>
          </w:p>
        </w:tc>
      </w:tr>
      <w:tr>
        <w:trPr>
          <w:jc w:val="left"/>
        </w:trPr>
        <w:tc>
          <w:tcPr>
            <w:tcW w:w="454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 (дрова)</w:t>
            </w:r>
          </w:p>
        </w:tc>
        <w:tc>
          <w:tcPr>
            <w:tcW w:w="12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190,96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190,96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190,96</w:t>
            </w:r>
          </w:p>
        </w:tc>
      </w:tr>
      <w:tr>
        <w:trPr>
          <w:jc w:val="left"/>
        </w:trPr>
        <w:tc>
          <w:tcPr>
            <w:tcW w:w="454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2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2,20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2,20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2,20</w:t>
            </w:r>
          </w:p>
        </w:tc>
      </w:tr>
      <w:tr>
        <w:trPr>
          <w:jc w:val="left"/>
        </w:trPr>
        <w:tc>
          <w:tcPr>
            <w:tcW w:w="454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</w:tr>
      <w:tr>
        <w:trPr>
          <w:jc w:val="left"/>
        </w:trPr>
        <w:tc>
          <w:tcPr>
            <w:tcW w:w="454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2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</w:tr>
      <w:tr>
        <w:trPr>
          <w:jc w:val="left"/>
        </w:trPr>
        <w:tc>
          <w:tcPr>
            <w:tcW w:w="454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2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24,17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24,17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24,17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Показатели энергосбережения и энергетической эффективности публичного акционерного общества Нефтегазовая компания "РуссНефть" в зоне деятельности Нижневартовского филиала публичного акционерного общества Нефтегазовая компания "РуссНефть" на территории городского округа Радужный Ханты-Мансийского автономного округа - Югры: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541"/>
        <w:gridCol w:w="1204"/>
        <w:gridCol w:w="1134"/>
        <w:gridCol w:w="1077"/>
        <w:gridCol w:w="1134"/>
      </w:tblGrid>
      <w:tr>
        <w:trPr>
          <w:jc w:val="left"/>
        </w:trPr>
        <w:tc>
          <w:tcPr>
            <w:tcW w:w="454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2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2022 год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2023 год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2024 год</w:t>
            </w:r>
          </w:p>
        </w:tc>
      </w:tr>
      <w:tr>
        <w:trPr>
          <w:jc w:val="left"/>
        </w:trPr>
        <w:tc>
          <w:tcPr>
            <w:tcW w:w="454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</w:t>
            </w:r>
          </w:p>
        </w:tc>
        <w:tc>
          <w:tcPr>
            <w:tcW w:w="12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91,39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91,39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91,39</w:t>
            </w:r>
          </w:p>
        </w:tc>
      </w:tr>
      <w:tr>
        <w:trPr>
          <w:jc w:val="left"/>
        </w:trPr>
        <w:tc>
          <w:tcPr>
            <w:tcW w:w="454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</w:t>
            </w:r>
          </w:p>
        </w:tc>
        <w:tc>
          <w:tcPr>
            <w:tcW w:w="12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 Гкал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159,18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159,18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159,18</w:t>
            </w:r>
          </w:p>
        </w:tc>
      </w:tr>
      <w:tr>
        <w:trPr>
          <w:jc w:val="left"/>
        </w:trPr>
        <w:tc>
          <w:tcPr>
            <w:tcW w:w="454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2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1,80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1,80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1,80</w:t>
            </w:r>
          </w:p>
        </w:tc>
      </w:tr>
      <w:tr>
        <w:trPr>
          <w:jc w:val="left"/>
        </w:trPr>
        <w:tc>
          <w:tcPr>
            <w:tcW w:w="454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18,12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18,12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18,12</w:t>
            </w:r>
          </w:p>
        </w:tc>
      </w:tr>
      <w:tr>
        <w:trPr>
          <w:jc w:val="left"/>
        </w:trPr>
        <w:tc>
          <w:tcPr>
            <w:tcW w:w="454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2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0,04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0,04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0,04</w:t>
            </w:r>
          </w:p>
        </w:tc>
      </w:tr>
      <w:tr>
        <w:trPr>
          <w:jc w:val="left"/>
        </w:trPr>
        <w:tc>
          <w:tcPr>
            <w:tcW w:w="454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2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5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приказу Региональной службы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 тарифам 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7 декабря 2021 года N 95-нп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5" w:name="Par299"/>
      <w:bookmarkEnd w:id="5"/>
      <w:r>
        <w:rPr>
          <w:rFonts w:ascii="Arial" w:hAnsi="Arial" w:eastAsia="Arial" w:cs="Arial"/>
          <w:b/>
          <w:i w:val="0"/>
          <w:strike w:val="0"/>
          <w:sz w:val="24"/>
        </w:rPr>
        <w:t xml:space="preserve">ДОЛГОСРОЧНЫЕ ПАРАМЕТРЫ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РЕГУЛИРОВАНИЯ, УСТАНАВЛИВАЕМЫЕ НА ДОЛГОСРОЧНЫЙ ПЕРИОД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РЕГУЛИРОВАНИЯ ДЛЯ ФОРМИРОВАНИЯ ТАРИФОВ НА ТЕПЛОВУЮ ЭНЕРГИЮ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(МОЩНОСТЬ), ПОСТАВЛЯЕМУЮ ОБЩЕСТВОМ С ОГРАНИЧЕННОЙ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ОТВЕТСТВЕННОСТЬЮ "СУРГУТСКИЕ ГОРОДСКИЕ ЭЛЕКТРИЧЕСКИЕ СЕТИ"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ПОТРЕБИТЕЛЯМ, С ИСПОЛЬЗОВАНИЕМ МЕТОДА ИНДЕКСАЦИИ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УСТАНОВЛЕННЫХ ТАРИФОВ НА 2022 - 2026 ГОДЫ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sectPr>
          <w:headerReference w:type="default" r:id="rId10"/>
          <w:footerReference w:type="default" r:id="rId15"/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546"/>
        <w:gridCol w:w="1639"/>
        <w:gridCol w:w="604"/>
        <w:gridCol w:w="1639"/>
        <w:gridCol w:w="1669"/>
        <w:gridCol w:w="1579"/>
        <w:gridCol w:w="1819"/>
        <w:gridCol w:w="1474"/>
        <w:gridCol w:w="1417"/>
        <w:gridCol w:w="1219"/>
      </w:tblGrid>
      <w:tr>
        <w:trPr>
          <w:jc w:val="left"/>
        </w:trPr>
        <w:tc>
          <w:tcPr>
            <w:tcW w:w="54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п/п</w:t>
            </w:r>
          </w:p>
        </w:tc>
        <w:tc>
          <w:tcPr>
            <w:tcW w:w="1639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регулируемой организации</w:t>
            </w:r>
          </w:p>
        </w:tc>
        <w:tc>
          <w:tcPr>
            <w:tcW w:w="60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Год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Базовый уровень операционных расходов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Индекс эффективности операционных расходов</w:t>
            </w:r>
          </w:p>
        </w:tc>
        <w:tc>
          <w:tcPr>
            <w:tcW w:w="157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Нормативный уровень прибыли &lt;1&gt;</w:t>
            </w:r>
          </w:p>
        </w:tc>
        <w:tc>
          <w:tcPr>
            <w:tcW w:w="18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Уровень надежности теплоснабжения &lt;*&gt;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Показатели энергосбережения и энергетической эффективности &lt;2&gt; &lt;**&gt;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Реализация программ в области энергосбережения и повышения энергетической эффективности &lt;**&gt;</w:t>
            </w:r>
          </w:p>
        </w:tc>
        <w:tc>
          <w:tcPr>
            <w:tcW w:w="12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Динамика изменения расходов на топливо &lt;***&gt;</w:t>
            </w:r>
          </w:p>
        </w:tc>
      </w:tr>
      <w:tr>
        <w:trPr>
          <w:jc w:val="left"/>
        </w:trPr>
        <w:tc>
          <w:tcPr>
            <w:tcW w:w="54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39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тыс. руб.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57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8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54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</w:t>
            </w:r>
          </w:p>
        </w:tc>
        <w:tc>
          <w:tcPr>
            <w:tcW w:w="13059" w:type="dxa"/>
            <w:gridSpan w:val="9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"Сургутские городские электрические сети" на территории городского округа Сургут Ханты-Мансийского автономного округа - Югры от котельной по ш. Нефтеюганское, д. 22, строение 5</w:t>
            </w:r>
          </w:p>
        </w:tc>
      </w:tr>
      <w:tr>
        <w:trPr>
          <w:jc w:val="left"/>
        </w:trPr>
        <w:tc>
          <w:tcPr>
            <w:tcW w:w="54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1.1.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2022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741,41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7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74" w:type="dxa"/>
            <w:v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2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54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1.2.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2023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57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74" w:type="dxa"/>
            <w:vMerge w:val="continue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2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54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1.3.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2024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57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74" w:type="dxa"/>
            <w:vMerge w:val="continue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2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54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1.4.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2025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57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74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2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54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1.5.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2026</w:t>
            </w:r>
          </w:p>
        </w:tc>
        <w:tc>
          <w:tcPr>
            <w:tcW w:w="163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57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74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2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headerReference w:type="default" r:id="rId11"/>
          <w:footerReference w:type="default" r:id="rId16"/>
          <w:type w:val="nextPage"/>
          <w:pgSz w:w="16838" w:h="11906" w:orient="landscape"/>
          <w:pgMar w:top="1133" w:right="1440" w:bottom="566" w:left="1440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--------------------------------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&lt;***&gt;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Уровень надежности теплоснабжения, реализация программ в области энергосбережения и повышения энергетической эффективности в соответствии с </w:t>
      </w:r>
      <w:hyperlink r:id="rId3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пунктом 75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Основ ценообразования в сфере теплоснабжения, утвержденных постановлением Правительства Российской Федерации от 22 октября 2012 года N 1075 "О ценообразовании в сфере теплоснабжения", не относятся к 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 тарифов.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&lt;1&gt; 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&lt;2&gt; Показатели энергосбережения и энергетической эффективности общества с ограниченной ответственностью "Сургутские городские электрические сети" на территории городского округа Сургут Ханты-Мансийского автономного округа - Югры от котельной по ш. Нефтеюганское, д. 22, строение 5: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2727"/>
        <w:gridCol w:w="1275"/>
        <w:gridCol w:w="993"/>
        <w:gridCol w:w="1134"/>
        <w:gridCol w:w="992"/>
        <w:gridCol w:w="992"/>
        <w:gridCol w:w="992"/>
      </w:tblGrid>
      <w:tr>
        <w:trPr>
          <w:jc w:val="left"/>
        </w:trPr>
        <w:tc>
          <w:tcPr>
            <w:tcW w:w="272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99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2022 год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2023 год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2024 год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2025 год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2026 год</w:t>
            </w:r>
          </w:p>
        </w:tc>
      </w:tr>
      <w:tr>
        <w:trPr>
          <w:jc w:val="left"/>
        </w:trPr>
        <w:tc>
          <w:tcPr>
            <w:tcW w:w="272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99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92,00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92,00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92,00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92,00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92,00</w:t>
            </w:r>
          </w:p>
        </w:tc>
      </w:tr>
      <w:tr>
        <w:trPr>
          <w:jc w:val="left"/>
        </w:trPr>
        <w:tc>
          <w:tcPr>
            <w:tcW w:w="272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 Гкал</w:t>
            </w:r>
          </w:p>
        </w:tc>
        <w:tc>
          <w:tcPr>
            <w:tcW w:w="99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155,28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155,28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155,28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155,28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155,28</w:t>
            </w:r>
          </w:p>
        </w:tc>
      </w:tr>
      <w:tr>
        <w:trPr>
          <w:jc w:val="left"/>
        </w:trPr>
        <w:tc>
          <w:tcPr>
            <w:tcW w:w="272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99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</w:tr>
      <w:tr>
        <w:trPr>
          <w:jc w:val="left"/>
        </w:trPr>
        <w:tc>
          <w:tcPr>
            <w:tcW w:w="272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99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20,00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20,00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20,00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20,00</w:t>
            </w:r>
          </w:p>
        </w:tc>
      </w:tr>
      <w:tr>
        <w:trPr>
          <w:jc w:val="left"/>
        </w:trPr>
        <w:tc>
          <w:tcPr>
            <w:tcW w:w="272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99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0,15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0,15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0,15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0,15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0,15</w:t>
            </w:r>
          </w:p>
        </w:tc>
      </w:tr>
      <w:tr>
        <w:trPr>
          <w:jc w:val="left"/>
        </w:trPr>
        <w:tc>
          <w:tcPr>
            <w:tcW w:w="272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99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2,61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2,61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2,61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2,61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2,61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sectPr>
      <w:headerReference w:type="default" r:id="rId12"/>
      <w:footerReference w:type="default" r:id="rId17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4606"/>
      <w:gridCol w:w="4745"/>
      <w:gridCol w:w="4607"/>
    </w:tblGrid>
    <w:tr>
      <w:trPr>
        <w:trHeight w:val="1170" w:hRule="exact"/>
      </w:trPr>
      <w:tc>
        <w:tcPr>
          <w:tcW w:w="4606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474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460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4606"/>
      <w:gridCol w:w="4745"/>
      <w:gridCol w:w="4607"/>
    </w:tblGrid>
    <w:tr>
      <w:trPr>
        <w:trHeight w:val="1170" w:hRule="exact"/>
      </w:trPr>
      <w:tc>
        <w:tcPr>
          <w:tcW w:w="4606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474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460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Региональной службы по тарифам ХМАО - Югры от 07.12.2021 N 95-нп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29.11.2022)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установлении тарифов на...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19.07.2023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7537"/>
      <w:gridCol w:w="6420"/>
    </w:tblGrid>
    <w:tr>
      <w:trPr>
        <w:trHeight w:val="1190" w:hRule="exact"/>
      </w:trPr>
      <w:tc>
        <w:tcPr>
          <w:tcW w:w="753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Региональной службы по тарифам ХМАО - Югры от 07.12.2021 N 95-нп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29.11.2022)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установлении тарифов на...</w:t>
          </w:r>
        </w:p>
      </w:tc>
      <w:tc>
        <w:tcPr>
          <w:tcW w:w="642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19.07.2023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Региональной службы по тарифам ХМАО - Югры от 07.12.2021 N 95-нп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29.11.2022)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установлении тарифов на...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19.07.2023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7537"/>
      <w:gridCol w:w="6420"/>
    </w:tblGrid>
    <w:tr>
      <w:trPr>
        <w:trHeight w:val="1190" w:hRule="exact"/>
      </w:trPr>
      <w:tc>
        <w:tcPr>
          <w:tcW w:w="753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Региональной службы по тарифам ХМАО - Югры от 07.12.2021 N 95-нп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29.11.2022)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установлении тарифов на...</w:t>
          </w:r>
        </w:p>
      </w:tc>
      <w:tc>
        <w:tcPr>
          <w:tcW w:w="642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19.07.2023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Региональной службы по тарифам ХМАО - Югры от 07.12.2021 N 95-нп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29.11.2022)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установлении тарифов на...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19.07.2023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eastAsia="Arial" w:cs="Arial"/>
      <w:b/>
      <w:i w:val="0"/>
      <w:strike w:val="0"/>
      <w:sz w:val="24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footer" Target="footer4.xml" /><Relationship Id="rId17" Type="http://schemas.openxmlformats.org/officeDocument/2006/relationships/footer" Target="footer5.xml" /><Relationship Id="rId18" Type="http://schemas.openxmlformats.org/officeDocument/2006/relationships/image" Target="media/image1.png"/><Relationship Id="rId19" Type="http://schemas.openxmlformats.org/officeDocument/2006/relationships/hyperlink" Target="https://www.consultant.ru" TargetMode="External"/><Relationship Id="rId20" Type="http://schemas.openxmlformats.org/officeDocument/2006/relationships/hyperlink" Target="https://www.consultant.ru" TargetMode="External"/><Relationship Id="rId21" Type="http://schemas.openxmlformats.org/officeDocument/2006/relationships/hyperlink" Target="https://login.consultant.ru/link/?req=doc&amp;base=RLAW926&amp;n=268343&amp;date=19.07.2023&amp;dst=100022&amp;field=134" TargetMode="External"/><Relationship Id="rId22" Type="http://schemas.openxmlformats.org/officeDocument/2006/relationships/hyperlink" Target="https://login.consultant.ru/link/?req=doc&amp;base=RLAW926&amp;n=279998&amp;date=19.07.2023&amp;dst=100023&amp;field=134" TargetMode="External"/><Relationship Id="rId23" Type="http://schemas.openxmlformats.org/officeDocument/2006/relationships/hyperlink" Target="https://login.consultant.ru/link/?req=doc&amp;base=RLAW926&amp;n=279657&amp;date=19.07.2023&amp;dst=100030&amp;field=134" TargetMode="External"/><Relationship Id="rId24" Type="http://schemas.openxmlformats.org/officeDocument/2006/relationships/hyperlink" Target="https://login.consultant.ru/link/?req=doc&amp;base=LAW&amp;n=416276&amp;date=19.07.2023" TargetMode="External"/><Relationship Id="rId25" Type="http://schemas.openxmlformats.org/officeDocument/2006/relationships/hyperlink" Target="https://login.consultant.ru/link/?req=doc&amp;base=LAW&amp;n=443283&amp;date=19.07.2023" TargetMode="External"/><Relationship Id="rId26" Type="http://schemas.openxmlformats.org/officeDocument/2006/relationships/hyperlink" Target="https://login.consultant.ru/link/?req=doc&amp;base=LAW&amp;n=414044&amp;date=19.07.2023" TargetMode="External"/><Relationship Id="rId27" Type="http://schemas.openxmlformats.org/officeDocument/2006/relationships/hyperlink" Target="https://login.consultant.ru/link/?req=doc&amp;base=LAW&amp;n=421259&amp;date=19.07.2023" TargetMode="External"/><Relationship Id="rId28" Type="http://schemas.openxmlformats.org/officeDocument/2006/relationships/hyperlink" Target="https://login.consultant.ru/link/?req=doc&amp;base=RLAW926&amp;n=279550&amp;date=19.07.2023" TargetMode="External"/><Relationship Id="rId29" Type="http://schemas.openxmlformats.org/officeDocument/2006/relationships/hyperlink" Target="https://login.consultant.ru/link/?req=doc&amp;base=RLAW926&amp;n=268343&amp;date=19.07.2023&amp;dst=100022&amp;field=134" TargetMode="External"/><Relationship Id="rId30" Type="http://schemas.openxmlformats.org/officeDocument/2006/relationships/hyperlink" Target="https://login.consultant.ru/link/?req=doc&amp;base=RLAW926&amp;n=279657&amp;date=19.07.2023&amp;dst=100030&amp;field=134" TargetMode="External"/><Relationship Id="rId31" Type="http://schemas.openxmlformats.org/officeDocument/2006/relationships/hyperlink" Target="https://login.consultant.ru/link/?req=doc&amp;base=RLAW926&amp;n=279657&amp;date=19.07.2023&amp;dst=100030&amp;field=134" TargetMode="External"/><Relationship Id="rId32" Type="http://schemas.openxmlformats.org/officeDocument/2006/relationships/hyperlink" Target="https://login.consultant.ru/link/?req=doc&amp;base=RLAW926&amp;n=279998&amp;date=19.07.2023&amp;dst=100023&amp;field=134" TargetMode="External"/><Relationship Id="rId33" Type="http://schemas.openxmlformats.org/officeDocument/2006/relationships/hyperlink" Target="https://login.consultant.ru/link/?req=doc&amp;base=RLAW926&amp;n=279657&amp;date=19.07.2023&amp;dst=100030&amp;field=134" TargetMode="External"/><Relationship Id="rId34" Type="http://schemas.openxmlformats.org/officeDocument/2006/relationships/hyperlink" Target="https://login.consultant.ru/link/?req=doc&amp;base=RLAW926&amp;n=279657&amp;date=19.07.2023&amp;dst=100030&amp;field=134" TargetMode="External"/><Relationship Id="rId35" Type="http://schemas.openxmlformats.org/officeDocument/2006/relationships/hyperlink" Target="https://login.consultant.ru/link/?req=doc&amp;base=RLAW926&amp;n=279998&amp;date=19.07.2023&amp;dst=100023&amp;field=134" TargetMode="External"/><Relationship Id="rId36" Type="http://schemas.openxmlformats.org/officeDocument/2006/relationships/hyperlink" Target="https://login.consultant.ru/link/?req=doc&amp;base=RLAW926&amp;n=279657&amp;date=19.07.2023&amp;dst=100030&amp;field=134" TargetMode="External"/><Relationship Id="rId37" Type="http://schemas.openxmlformats.org/officeDocument/2006/relationships/hyperlink" Target="https://login.consultant.ru/link/?req=doc&amp;base=RLAW926&amp;n=268343&amp;date=19.07.2023&amp;dst=100022&amp;field=134" TargetMode="External"/><Relationship Id="rId38" Type="http://schemas.openxmlformats.org/officeDocument/2006/relationships/hyperlink" Target="https://login.consultant.ru/link/?req=doc&amp;base=LAW&amp;n=443283&amp;date=19.07.2023&amp;dst=100283&amp;field=134" TargetMode="External"/><Relationship Id="rId39" Type="http://schemas.openxmlformats.org/officeDocument/2006/relationships/hyperlink" Target="https://login.consultant.ru/link/?req=doc&amp;base=LAW&amp;n=443283&amp;date=19.07.2023&amp;dst=100283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Региональной службы по тарифам ХМАО - Югры от 07.12.2021 N 95-нп(ред. от 29.11.2022)&amp;quot;Об установлении тарифов на тепловую энергию (мощность), поставляемую теплоснабжающими организациями потребителям&amp;quot;</dc:title>
  <dc:creator/>
  <cp:lastModifiedBy/>
</cp:coreProperties>
</file>